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75CAE" w14:textId="312E30AF" w:rsidR="00DF62AA" w:rsidRPr="00CC1454" w:rsidRDefault="00DF62AA" w:rsidP="00BD2325">
      <w:pPr>
        <w:rPr>
          <w:rFonts w:asciiTheme="majorHAnsi" w:hAnsiTheme="majorHAnsi" w:cs="Calibri"/>
          <w:i/>
          <w:iCs/>
          <w:sz w:val="22"/>
          <w:szCs w:val="22"/>
        </w:rPr>
      </w:pPr>
      <w:r w:rsidRPr="00CC1454">
        <w:rPr>
          <w:rFonts w:asciiTheme="majorHAnsi" w:hAnsiTheme="majorHAnsi" w:cs="Calibri"/>
          <w:i/>
          <w:iCs/>
          <w:sz w:val="22"/>
          <w:szCs w:val="22"/>
        </w:rPr>
        <w:t xml:space="preserve">Abbott is an associate member of the Early Detection Research Network. </w:t>
      </w:r>
      <w:r w:rsidR="006731B2" w:rsidRPr="00CC1454">
        <w:rPr>
          <w:rFonts w:asciiTheme="majorHAnsi" w:hAnsiTheme="majorHAnsi" w:cs="Calibri"/>
          <w:i/>
          <w:iCs/>
          <w:sz w:val="22"/>
          <w:szCs w:val="22"/>
        </w:rPr>
        <w:t>Testing</w:t>
      </w:r>
      <w:r w:rsidR="00980FDF" w:rsidRPr="00CC1454">
        <w:rPr>
          <w:rFonts w:asciiTheme="majorHAnsi" w:hAnsiTheme="majorHAnsi" w:cs="Calibri"/>
          <w:i/>
          <w:iCs/>
          <w:sz w:val="22"/>
          <w:szCs w:val="22"/>
        </w:rPr>
        <w:t xml:space="preserve"> and analysis will be performed within </w:t>
      </w:r>
      <w:r w:rsidR="006731B2" w:rsidRPr="00CC1454">
        <w:rPr>
          <w:rFonts w:asciiTheme="majorHAnsi" w:hAnsiTheme="majorHAnsi" w:cs="Calibri"/>
          <w:i/>
          <w:iCs/>
          <w:sz w:val="22"/>
          <w:szCs w:val="22"/>
        </w:rPr>
        <w:t>six</w:t>
      </w:r>
      <w:r w:rsidR="00980FDF" w:rsidRPr="00CC1454">
        <w:rPr>
          <w:rFonts w:asciiTheme="majorHAnsi" w:hAnsiTheme="majorHAnsi" w:cs="Calibri"/>
          <w:i/>
          <w:iCs/>
          <w:sz w:val="22"/>
          <w:szCs w:val="22"/>
        </w:rPr>
        <w:t xml:space="preserve"> we</w:t>
      </w:r>
      <w:r w:rsidR="006731B2" w:rsidRPr="00CC1454">
        <w:rPr>
          <w:rFonts w:asciiTheme="majorHAnsi" w:hAnsiTheme="majorHAnsi" w:cs="Calibri"/>
          <w:i/>
          <w:iCs/>
          <w:sz w:val="22"/>
          <w:szCs w:val="22"/>
        </w:rPr>
        <w:t>e</w:t>
      </w:r>
      <w:r w:rsidR="00980FDF" w:rsidRPr="00CC1454">
        <w:rPr>
          <w:rFonts w:asciiTheme="majorHAnsi" w:hAnsiTheme="majorHAnsi" w:cs="Calibri"/>
          <w:i/>
          <w:iCs/>
          <w:sz w:val="22"/>
          <w:szCs w:val="22"/>
        </w:rPr>
        <w:t>ks</w:t>
      </w:r>
      <w:r w:rsidR="006731B2" w:rsidRPr="00CC1454">
        <w:rPr>
          <w:rFonts w:asciiTheme="majorHAnsi" w:hAnsiTheme="majorHAnsi" w:cs="Calibri"/>
          <w:i/>
          <w:iCs/>
          <w:sz w:val="22"/>
          <w:szCs w:val="22"/>
        </w:rPr>
        <w:t xml:space="preserve"> of receipt of the Reference Set</w:t>
      </w:r>
      <w:r w:rsidR="00980FDF" w:rsidRPr="00CC1454">
        <w:rPr>
          <w:rFonts w:asciiTheme="majorHAnsi" w:hAnsiTheme="majorHAnsi" w:cs="Calibri"/>
          <w:i/>
          <w:iCs/>
          <w:sz w:val="22"/>
          <w:szCs w:val="22"/>
        </w:rPr>
        <w:t xml:space="preserve">. </w:t>
      </w:r>
    </w:p>
    <w:p w14:paraId="445EE04D" w14:textId="77777777" w:rsidR="00DF62AA" w:rsidRPr="00DF62AA" w:rsidRDefault="00DF62AA" w:rsidP="00BD2325">
      <w:pPr>
        <w:rPr>
          <w:rFonts w:asciiTheme="majorHAnsi" w:hAnsiTheme="majorHAnsi" w:cs="Calibri"/>
        </w:rPr>
      </w:pPr>
    </w:p>
    <w:p w14:paraId="046C2617" w14:textId="02EA9449" w:rsidR="001740C0" w:rsidRDefault="001740C0" w:rsidP="00BD2325">
      <w:pPr>
        <w:rPr>
          <w:rFonts w:asciiTheme="majorHAnsi" w:hAnsiTheme="majorHAnsi" w:cs="Calibri"/>
          <w:b/>
          <w:bCs/>
        </w:rPr>
      </w:pPr>
      <w:r w:rsidRPr="001740C0">
        <w:rPr>
          <w:rFonts w:asciiTheme="majorHAnsi" w:hAnsiTheme="majorHAnsi" w:cs="Calibri"/>
          <w:b/>
          <w:bCs/>
        </w:rPr>
        <w:t xml:space="preserve">Clinical Relationship </w:t>
      </w:r>
    </w:p>
    <w:p w14:paraId="38CAA689" w14:textId="6309594F" w:rsidR="00646CE5" w:rsidRDefault="001740C0" w:rsidP="00BD2325">
      <w:pPr>
        <w:rPr>
          <w:rFonts w:asciiTheme="majorHAnsi" w:hAnsiTheme="majorHAnsi" w:cs="Calibri"/>
          <w:sz w:val="20"/>
          <w:szCs w:val="20"/>
        </w:rPr>
      </w:pPr>
      <w:r>
        <w:rPr>
          <w:rFonts w:asciiTheme="majorHAnsi" w:hAnsiTheme="majorHAnsi" w:cs="Calibri"/>
          <w:sz w:val="20"/>
          <w:szCs w:val="20"/>
        </w:rPr>
        <w:t>The goal of the sample set’s use is to help develop a</w:t>
      </w:r>
      <w:r w:rsidR="00905CB5">
        <w:rPr>
          <w:rFonts w:asciiTheme="majorHAnsi" w:hAnsiTheme="majorHAnsi" w:cs="Calibri"/>
          <w:sz w:val="20"/>
          <w:szCs w:val="20"/>
        </w:rPr>
        <w:t>n automated</w:t>
      </w:r>
      <w:r w:rsidRPr="00586235">
        <w:rPr>
          <w:rFonts w:asciiTheme="majorHAnsi" w:hAnsiTheme="majorHAnsi" w:cs="Calibri"/>
          <w:sz w:val="20"/>
          <w:szCs w:val="20"/>
        </w:rPr>
        <w:t xml:space="preserve"> Pro</w:t>
      </w:r>
      <w:r w:rsidRPr="00586235">
        <w:rPr>
          <w:rFonts w:ascii="Aptos Display" w:hAnsi="Aptos Display" w:cs="Aptos Display"/>
          <w:sz w:val="20"/>
          <w:szCs w:val="20"/>
        </w:rPr>
        <w:t>–</w:t>
      </w:r>
      <w:r w:rsidRPr="00586235">
        <w:rPr>
          <w:rFonts w:asciiTheme="majorHAnsi" w:hAnsiTheme="majorHAnsi" w:cs="Calibri"/>
          <w:sz w:val="20"/>
          <w:szCs w:val="20"/>
        </w:rPr>
        <w:t>Surfactant Protein B</w:t>
      </w:r>
      <w:r>
        <w:rPr>
          <w:rFonts w:asciiTheme="majorHAnsi" w:hAnsiTheme="majorHAnsi" w:cs="Calibri"/>
          <w:sz w:val="20"/>
          <w:szCs w:val="20"/>
        </w:rPr>
        <w:t xml:space="preserve"> </w:t>
      </w:r>
      <w:r w:rsidR="008855AA">
        <w:rPr>
          <w:rFonts w:asciiTheme="majorHAnsi" w:hAnsiTheme="majorHAnsi" w:cs="Calibri"/>
          <w:sz w:val="20"/>
          <w:szCs w:val="20"/>
        </w:rPr>
        <w:t>(</w:t>
      </w:r>
      <w:proofErr w:type="spellStart"/>
      <w:r w:rsidR="008855AA" w:rsidRPr="008855AA">
        <w:rPr>
          <w:rFonts w:asciiTheme="majorHAnsi" w:hAnsiTheme="majorHAnsi" w:cs="Calibri"/>
          <w:sz w:val="20"/>
          <w:szCs w:val="20"/>
        </w:rPr>
        <w:t>ProSFTPB</w:t>
      </w:r>
      <w:proofErr w:type="spellEnd"/>
      <w:r w:rsidR="008855AA">
        <w:rPr>
          <w:rFonts w:asciiTheme="majorHAnsi" w:hAnsiTheme="majorHAnsi" w:cs="Calibri"/>
          <w:sz w:val="20"/>
          <w:szCs w:val="20"/>
        </w:rPr>
        <w:t xml:space="preserve">) </w:t>
      </w:r>
      <w:r w:rsidR="0000780E">
        <w:rPr>
          <w:rFonts w:asciiTheme="majorHAnsi" w:hAnsiTheme="majorHAnsi" w:cs="Calibri"/>
          <w:sz w:val="20"/>
          <w:szCs w:val="20"/>
        </w:rPr>
        <w:t xml:space="preserve">assay </w:t>
      </w:r>
      <w:r>
        <w:rPr>
          <w:rFonts w:asciiTheme="majorHAnsi" w:hAnsiTheme="majorHAnsi" w:cs="Calibri"/>
          <w:sz w:val="20"/>
          <w:szCs w:val="20"/>
        </w:rPr>
        <w:t>to aid in the early detection of lung cancer. The likely intended</w:t>
      </w:r>
      <w:r w:rsidR="00221F60">
        <w:rPr>
          <w:rFonts w:asciiTheme="majorHAnsi" w:hAnsiTheme="majorHAnsi" w:cs="Calibri"/>
          <w:sz w:val="20"/>
          <w:szCs w:val="20"/>
        </w:rPr>
        <w:t>-</w:t>
      </w:r>
      <w:r>
        <w:rPr>
          <w:rFonts w:asciiTheme="majorHAnsi" w:hAnsiTheme="majorHAnsi" w:cs="Calibri"/>
          <w:sz w:val="20"/>
          <w:szCs w:val="20"/>
        </w:rPr>
        <w:t>use population for this assay, and panel it is planned to be a part of, is made up of “at-risk” in</w:t>
      </w:r>
      <w:r w:rsidR="0000780E">
        <w:rPr>
          <w:rFonts w:asciiTheme="majorHAnsi" w:hAnsiTheme="majorHAnsi" w:cs="Calibri"/>
          <w:sz w:val="20"/>
          <w:szCs w:val="20"/>
        </w:rPr>
        <w:t>dividuals with factors that increase their potential for developing lung cancer</w:t>
      </w:r>
      <w:r w:rsidR="00221F60">
        <w:rPr>
          <w:rFonts w:asciiTheme="majorHAnsi" w:hAnsiTheme="majorHAnsi" w:cs="Calibri"/>
          <w:sz w:val="20"/>
          <w:szCs w:val="20"/>
        </w:rPr>
        <w:t xml:space="preserve"> and have </w:t>
      </w:r>
      <w:r w:rsidR="00221F60" w:rsidRPr="00221F60">
        <w:rPr>
          <w:rFonts w:asciiTheme="majorHAnsi" w:hAnsiTheme="majorHAnsi" w:cs="Calibri"/>
          <w:sz w:val="20"/>
          <w:szCs w:val="20"/>
        </w:rPr>
        <w:t>indeterminate pulmonary nodules (IPN)</w:t>
      </w:r>
      <w:r w:rsidR="0000780E">
        <w:rPr>
          <w:rFonts w:asciiTheme="majorHAnsi" w:hAnsiTheme="majorHAnsi" w:cs="Calibri"/>
          <w:sz w:val="20"/>
          <w:szCs w:val="20"/>
        </w:rPr>
        <w:t xml:space="preserve">. This severely limits the availability of specimens for use and therefore increases both the burden of acquiring them and value associated with patient information. This sample set directly addresses the patient population needs and contains vital patient information to ensure assay performance metrics are reflective of its intended </w:t>
      </w:r>
      <w:r w:rsidR="00221F60">
        <w:rPr>
          <w:rFonts w:asciiTheme="majorHAnsi" w:hAnsiTheme="majorHAnsi" w:cs="Calibri"/>
          <w:sz w:val="20"/>
          <w:szCs w:val="20"/>
        </w:rPr>
        <w:t>use case</w:t>
      </w:r>
      <w:r w:rsidR="0000780E">
        <w:rPr>
          <w:rFonts w:asciiTheme="majorHAnsi" w:hAnsiTheme="majorHAnsi" w:cs="Calibri"/>
          <w:sz w:val="20"/>
          <w:szCs w:val="20"/>
        </w:rPr>
        <w:t xml:space="preserve">. </w:t>
      </w:r>
      <w:r w:rsidR="00C725CB">
        <w:rPr>
          <w:rFonts w:asciiTheme="majorHAnsi" w:hAnsiTheme="majorHAnsi" w:cs="Calibri"/>
          <w:sz w:val="20"/>
          <w:szCs w:val="20"/>
        </w:rPr>
        <w:t xml:space="preserve"> </w:t>
      </w:r>
      <w:r w:rsidR="008855AA">
        <w:rPr>
          <w:rFonts w:asciiTheme="majorHAnsi" w:hAnsiTheme="majorHAnsi" w:cs="Calibri"/>
          <w:sz w:val="20"/>
          <w:szCs w:val="20"/>
        </w:rPr>
        <w:t xml:space="preserve">The later discussed </w:t>
      </w:r>
      <w:r w:rsidR="008855AA" w:rsidRPr="00586235">
        <w:rPr>
          <w:rFonts w:asciiTheme="majorHAnsi" w:hAnsiTheme="majorHAnsi" w:cs="Calibri"/>
          <w:sz w:val="20"/>
          <w:szCs w:val="20"/>
        </w:rPr>
        <w:t>four</w:t>
      </w:r>
      <w:r w:rsidR="008855AA" w:rsidRPr="00586235">
        <w:rPr>
          <w:rFonts w:ascii="Cambria Math" w:hAnsi="Cambria Math" w:cs="Cambria Math"/>
          <w:sz w:val="20"/>
          <w:szCs w:val="20"/>
        </w:rPr>
        <w:t>‑</w:t>
      </w:r>
      <w:r w:rsidR="008855AA" w:rsidRPr="00586235">
        <w:rPr>
          <w:rFonts w:asciiTheme="majorHAnsi" w:hAnsiTheme="majorHAnsi" w:cs="Calibri"/>
          <w:sz w:val="20"/>
          <w:szCs w:val="20"/>
        </w:rPr>
        <w:t>marker panel (4MP) algorithm</w:t>
      </w:r>
      <w:r w:rsidR="008855AA">
        <w:rPr>
          <w:rFonts w:asciiTheme="majorHAnsi" w:hAnsiTheme="majorHAnsi" w:cs="Calibri"/>
          <w:sz w:val="20"/>
          <w:szCs w:val="20"/>
        </w:rPr>
        <w:t xml:space="preserve"> </w:t>
      </w:r>
      <w:r w:rsidR="002D3CFD">
        <w:rPr>
          <w:rFonts w:asciiTheme="majorHAnsi" w:hAnsiTheme="majorHAnsi" w:cs="Calibri"/>
          <w:sz w:val="20"/>
          <w:szCs w:val="20"/>
        </w:rPr>
        <w:t xml:space="preserve">and </w:t>
      </w:r>
      <w:proofErr w:type="spellStart"/>
      <w:r w:rsidR="002D3CFD">
        <w:rPr>
          <w:rFonts w:asciiTheme="majorHAnsi" w:hAnsiTheme="majorHAnsi" w:cs="Calibri"/>
          <w:sz w:val="20"/>
          <w:szCs w:val="20"/>
        </w:rPr>
        <w:t>LungSpot</w:t>
      </w:r>
      <w:r w:rsidR="002D3CFD">
        <w:rPr>
          <w:rFonts w:asciiTheme="majorHAnsi" w:hAnsiTheme="majorHAnsi" w:cs="Calibri"/>
          <w:sz w:val="20"/>
          <w:szCs w:val="20"/>
          <w:vertAlign w:val="superscript"/>
        </w:rPr>
        <w:t>TM</w:t>
      </w:r>
      <w:proofErr w:type="spellEnd"/>
      <w:r w:rsidR="002D3CFD">
        <w:rPr>
          <w:rFonts w:asciiTheme="majorHAnsi" w:hAnsiTheme="majorHAnsi" w:cs="Calibri"/>
          <w:sz w:val="20"/>
          <w:szCs w:val="20"/>
          <w:vertAlign w:val="superscript"/>
        </w:rPr>
        <w:t xml:space="preserve"> </w:t>
      </w:r>
      <w:r w:rsidR="002D3CFD">
        <w:rPr>
          <w:rFonts w:asciiTheme="majorHAnsi" w:hAnsiTheme="majorHAnsi" w:cs="Calibri"/>
          <w:sz w:val="20"/>
          <w:szCs w:val="20"/>
        </w:rPr>
        <w:t xml:space="preserve">test developed first by M.D. Anderson Cancer center </w:t>
      </w:r>
      <w:r w:rsidR="008855AA">
        <w:rPr>
          <w:rFonts w:asciiTheme="majorHAnsi" w:hAnsiTheme="majorHAnsi" w:cs="Calibri"/>
          <w:sz w:val="20"/>
          <w:szCs w:val="20"/>
        </w:rPr>
        <w:t xml:space="preserve">contains three commercialized IVD assays </w:t>
      </w:r>
      <w:r w:rsidR="00C725CB">
        <w:rPr>
          <w:rFonts w:asciiTheme="majorHAnsi" w:hAnsiTheme="majorHAnsi" w:cs="Calibri"/>
          <w:sz w:val="20"/>
          <w:szCs w:val="20"/>
        </w:rPr>
        <w:t>(CEA, CA 125, and CYFRA 21-1) which Abbott currently offers automated diagnostic tests for</w:t>
      </w:r>
      <w:r w:rsidR="002D3CFD">
        <w:rPr>
          <w:rFonts w:asciiTheme="majorHAnsi" w:hAnsiTheme="majorHAnsi" w:cs="Calibri"/>
          <w:sz w:val="20"/>
          <w:szCs w:val="20"/>
        </w:rPr>
        <w:t xml:space="preserve">.  This </w:t>
      </w:r>
      <w:r w:rsidR="008855AA">
        <w:rPr>
          <w:rFonts w:asciiTheme="majorHAnsi" w:hAnsiTheme="majorHAnsi" w:cs="Calibri"/>
          <w:sz w:val="20"/>
          <w:szCs w:val="20"/>
        </w:rPr>
        <w:t xml:space="preserve">only requires the development of a </w:t>
      </w:r>
      <w:proofErr w:type="spellStart"/>
      <w:r w:rsidR="008855AA" w:rsidRPr="008855AA">
        <w:rPr>
          <w:rFonts w:asciiTheme="majorHAnsi" w:hAnsiTheme="majorHAnsi" w:cs="Calibri"/>
          <w:sz w:val="20"/>
          <w:szCs w:val="20"/>
        </w:rPr>
        <w:t>ProSFTPB</w:t>
      </w:r>
      <w:proofErr w:type="spellEnd"/>
      <w:r w:rsidR="008855AA">
        <w:rPr>
          <w:rFonts w:asciiTheme="majorHAnsi" w:hAnsiTheme="majorHAnsi" w:cs="Calibri"/>
          <w:sz w:val="20"/>
          <w:szCs w:val="20"/>
        </w:rPr>
        <w:t xml:space="preserve"> assay.</w:t>
      </w:r>
      <w:r w:rsidR="00221F60">
        <w:rPr>
          <w:rFonts w:asciiTheme="majorHAnsi" w:hAnsiTheme="majorHAnsi" w:cs="Calibri"/>
          <w:sz w:val="20"/>
          <w:szCs w:val="20"/>
        </w:rPr>
        <w:t xml:space="preserve"> </w:t>
      </w:r>
      <w:r w:rsidR="0063022A">
        <w:rPr>
          <w:rFonts w:asciiTheme="majorHAnsi" w:hAnsiTheme="majorHAnsi" w:cs="Calibri"/>
          <w:sz w:val="20"/>
          <w:szCs w:val="20"/>
        </w:rPr>
        <w:t>This sam</w:t>
      </w:r>
      <w:r w:rsidR="004D0170">
        <w:rPr>
          <w:rFonts w:asciiTheme="majorHAnsi" w:hAnsiTheme="majorHAnsi" w:cs="Calibri"/>
          <w:sz w:val="20"/>
          <w:szCs w:val="20"/>
        </w:rPr>
        <w:t xml:space="preserve">ple will be tested on all four Abbott assays to determine the clinical utility of the algorithm panel. </w:t>
      </w:r>
      <w:r w:rsidR="00221F60">
        <w:rPr>
          <w:rFonts w:asciiTheme="majorHAnsi" w:hAnsiTheme="majorHAnsi" w:cs="Calibri"/>
          <w:sz w:val="20"/>
          <w:szCs w:val="20"/>
        </w:rPr>
        <w:t>Together, t</w:t>
      </w:r>
      <w:r w:rsidR="00221F60" w:rsidRPr="00221F60">
        <w:rPr>
          <w:rFonts w:asciiTheme="majorHAnsi" w:hAnsiTheme="majorHAnsi" w:cs="Calibri"/>
          <w:sz w:val="20"/>
          <w:szCs w:val="20"/>
        </w:rPr>
        <w:t>his biomarker panel is intended to support classification of indeterminate pulmonary nodules (IPN)</w:t>
      </w:r>
      <w:r w:rsidR="00221F60">
        <w:rPr>
          <w:rFonts w:asciiTheme="majorHAnsi" w:hAnsiTheme="majorHAnsi" w:cs="Calibri"/>
          <w:sz w:val="20"/>
          <w:szCs w:val="20"/>
        </w:rPr>
        <w:t xml:space="preserve"> in at-risk populations.</w:t>
      </w:r>
      <w:r w:rsidR="00C725CB">
        <w:rPr>
          <w:rFonts w:asciiTheme="majorHAnsi" w:hAnsiTheme="majorHAnsi" w:cs="Calibri"/>
          <w:sz w:val="20"/>
          <w:szCs w:val="20"/>
        </w:rPr>
        <w:t xml:space="preserve"> </w:t>
      </w:r>
    </w:p>
    <w:p w14:paraId="581B267C" w14:textId="77777777" w:rsidR="00A57197" w:rsidRDefault="00A57197" w:rsidP="00BD2325">
      <w:pPr>
        <w:rPr>
          <w:rFonts w:asciiTheme="majorHAnsi" w:hAnsiTheme="majorHAnsi" w:cs="Calibri"/>
          <w:b/>
          <w:bCs/>
        </w:rPr>
      </w:pPr>
    </w:p>
    <w:p w14:paraId="2EA33E64" w14:textId="77777777" w:rsidR="00646CE5" w:rsidRDefault="00646CE5" w:rsidP="00BD2325">
      <w:pPr>
        <w:rPr>
          <w:rFonts w:asciiTheme="majorHAnsi" w:hAnsiTheme="majorHAnsi" w:cs="Calibri"/>
          <w:b/>
          <w:bCs/>
        </w:rPr>
      </w:pPr>
    </w:p>
    <w:p w14:paraId="5DC11B82" w14:textId="04C903CB" w:rsidR="0000780E" w:rsidRDefault="0000780E" w:rsidP="00BD2325">
      <w:pPr>
        <w:rPr>
          <w:rFonts w:asciiTheme="majorHAnsi" w:hAnsiTheme="majorHAnsi" w:cs="Calibri"/>
          <w:b/>
          <w:bCs/>
        </w:rPr>
      </w:pPr>
      <w:r w:rsidRPr="0000780E">
        <w:rPr>
          <w:rFonts w:asciiTheme="majorHAnsi" w:hAnsiTheme="majorHAnsi" w:cs="Calibri"/>
          <w:b/>
          <w:bCs/>
        </w:rPr>
        <w:t xml:space="preserve">Background and Significance </w:t>
      </w:r>
    </w:p>
    <w:p w14:paraId="184F2B71" w14:textId="34F37D94" w:rsidR="0000780E" w:rsidRPr="0000780E" w:rsidRDefault="008855AA" w:rsidP="00BD2325">
      <w:pPr>
        <w:rPr>
          <w:rFonts w:asciiTheme="majorHAnsi" w:hAnsiTheme="majorHAnsi" w:cs="Calibri"/>
          <w:sz w:val="20"/>
          <w:szCs w:val="20"/>
        </w:rPr>
      </w:pPr>
      <w:r w:rsidRPr="008855AA">
        <w:rPr>
          <w:rFonts w:asciiTheme="majorHAnsi" w:hAnsiTheme="majorHAnsi" w:cs="Calibri"/>
          <w:sz w:val="20"/>
          <w:szCs w:val="20"/>
        </w:rPr>
        <w:t>For both men and women, lung and bronchial cancers are the second most prevalent newly diagnosed cancers year over year. For each sex, this class accounts for 14% of new cases with only prostate and breast cancer at 29% being more common for men and women respectively. In 2012, lung cancer accounted for approximately 26% of all female cancer deaths and 29% of all male cancer deaths which is the highest of all cancer types (R. Siegel et al., 2012; Sin et al., 2013).</w:t>
      </w:r>
      <w:r>
        <w:rPr>
          <w:rFonts w:asciiTheme="majorHAnsi" w:hAnsiTheme="majorHAnsi" w:cs="Calibri"/>
          <w:sz w:val="20"/>
          <w:szCs w:val="20"/>
        </w:rPr>
        <w:t xml:space="preserve"> There </w:t>
      </w:r>
      <w:r w:rsidRPr="008855AA">
        <w:rPr>
          <w:rFonts w:asciiTheme="majorHAnsi" w:hAnsiTheme="majorHAnsi" w:cs="Calibri"/>
          <w:sz w:val="20"/>
          <w:szCs w:val="20"/>
        </w:rPr>
        <w:t xml:space="preserve">is a lack of commercialized diagnostic assays suitable for the early detection of lung </w:t>
      </w:r>
      <w:r>
        <w:rPr>
          <w:rFonts w:asciiTheme="majorHAnsi" w:hAnsiTheme="majorHAnsi" w:cs="Calibri"/>
          <w:sz w:val="20"/>
          <w:szCs w:val="20"/>
        </w:rPr>
        <w:t xml:space="preserve">cancer </w:t>
      </w:r>
      <w:r w:rsidRPr="008855AA">
        <w:rPr>
          <w:rFonts w:asciiTheme="majorHAnsi" w:hAnsiTheme="majorHAnsi" w:cs="Calibri"/>
          <w:sz w:val="20"/>
          <w:szCs w:val="20"/>
        </w:rPr>
        <w:t>and</w:t>
      </w:r>
      <w:r>
        <w:rPr>
          <w:rFonts w:asciiTheme="majorHAnsi" w:hAnsiTheme="majorHAnsi" w:cs="Calibri"/>
          <w:sz w:val="20"/>
          <w:szCs w:val="20"/>
        </w:rPr>
        <w:t xml:space="preserve"> it</w:t>
      </w:r>
      <w:r w:rsidRPr="008855AA">
        <w:rPr>
          <w:rFonts w:asciiTheme="majorHAnsi" w:hAnsiTheme="majorHAnsi" w:cs="Calibri"/>
          <w:sz w:val="20"/>
          <w:szCs w:val="20"/>
        </w:rPr>
        <w:t xml:space="preserve"> is currently difficult to accurately diagnose </w:t>
      </w:r>
      <w:r>
        <w:rPr>
          <w:rFonts w:asciiTheme="majorHAnsi" w:hAnsiTheme="majorHAnsi" w:cs="Calibri"/>
          <w:sz w:val="20"/>
          <w:szCs w:val="20"/>
        </w:rPr>
        <w:t xml:space="preserve">due to </w:t>
      </w:r>
      <w:r w:rsidRPr="008855AA">
        <w:rPr>
          <w:rFonts w:asciiTheme="majorHAnsi" w:hAnsiTheme="majorHAnsi" w:cs="Calibri"/>
          <w:sz w:val="20"/>
          <w:szCs w:val="20"/>
        </w:rPr>
        <w:t>radiographic screenings and biopsies</w:t>
      </w:r>
      <w:r>
        <w:rPr>
          <w:rFonts w:asciiTheme="majorHAnsi" w:hAnsiTheme="majorHAnsi" w:cs="Calibri"/>
          <w:sz w:val="20"/>
          <w:szCs w:val="20"/>
        </w:rPr>
        <w:t xml:space="preserve"> being the only options</w:t>
      </w:r>
      <w:r w:rsidRPr="008855AA">
        <w:rPr>
          <w:rFonts w:asciiTheme="majorHAnsi" w:hAnsiTheme="majorHAnsi" w:cs="Calibri"/>
          <w:sz w:val="20"/>
          <w:szCs w:val="20"/>
        </w:rPr>
        <w:t>.</w:t>
      </w:r>
      <w:r w:rsidR="002D1146">
        <w:rPr>
          <w:rFonts w:asciiTheme="majorHAnsi" w:hAnsiTheme="majorHAnsi" w:cs="Calibri"/>
          <w:sz w:val="20"/>
          <w:szCs w:val="20"/>
        </w:rPr>
        <w:t xml:space="preserve"> N</w:t>
      </w:r>
      <w:r w:rsidR="002D1146" w:rsidRPr="002D1146">
        <w:rPr>
          <w:rFonts w:asciiTheme="majorHAnsi" w:hAnsiTheme="majorHAnsi" w:cs="Calibri"/>
          <w:sz w:val="20"/>
          <w:szCs w:val="20"/>
        </w:rPr>
        <w:t xml:space="preserve">odules identified by </w:t>
      </w:r>
      <w:r w:rsidR="002D1146">
        <w:rPr>
          <w:rFonts w:asciiTheme="majorHAnsi" w:hAnsiTheme="majorHAnsi" w:cs="Calibri"/>
          <w:sz w:val="20"/>
          <w:szCs w:val="20"/>
        </w:rPr>
        <w:t xml:space="preserve">a </w:t>
      </w:r>
      <w:r w:rsidR="002D1146" w:rsidRPr="002D1146">
        <w:rPr>
          <w:rFonts w:asciiTheme="majorHAnsi" w:hAnsiTheme="majorHAnsi" w:cs="Calibri"/>
          <w:sz w:val="20"/>
          <w:szCs w:val="20"/>
        </w:rPr>
        <w:t>CT scan must be biopsied</w:t>
      </w:r>
      <w:r w:rsidR="002D1146">
        <w:rPr>
          <w:rFonts w:asciiTheme="majorHAnsi" w:hAnsiTheme="majorHAnsi" w:cs="Calibri"/>
          <w:sz w:val="20"/>
          <w:szCs w:val="20"/>
        </w:rPr>
        <w:t xml:space="preserve"> to identify their condition</w:t>
      </w:r>
      <w:r w:rsidR="002D1146" w:rsidRPr="002D1146">
        <w:rPr>
          <w:rFonts w:asciiTheme="majorHAnsi" w:hAnsiTheme="majorHAnsi" w:cs="Calibri"/>
          <w:sz w:val="20"/>
          <w:szCs w:val="20"/>
        </w:rPr>
        <w:t xml:space="preserve"> and only about 20%</w:t>
      </w:r>
      <w:r w:rsidR="002D1146">
        <w:rPr>
          <w:rFonts w:asciiTheme="majorHAnsi" w:hAnsiTheme="majorHAnsi" w:cs="Calibri"/>
          <w:sz w:val="20"/>
          <w:szCs w:val="20"/>
        </w:rPr>
        <w:t xml:space="preserve"> of those biopsied</w:t>
      </w:r>
      <w:r w:rsidR="002D1146" w:rsidRPr="002D1146">
        <w:rPr>
          <w:rFonts w:asciiTheme="majorHAnsi" w:hAnsiTheme="majorHAnsi" w:cs="Calibri"/>
          <w:sz w:val="20"/>
          <w:szCs w:val="20"/>
        </w:rPr>
        <w:t xml:space="preserve"> are identified as malignant (X. J. Li et al., 2013).</w:t>
      </w:r>
      <w:r w:rsidRPr="008855AA">
        <w:rPr>
          <w:rFonts w:asciiTheme="majorHAnsi" w:hAnsiTheme="majorHAnsi" w:cs="Calibri"/>
          <w:sz w:val="20"/>
          <w:szCs w:val="20"/>
        </w:rPr>
        <w:t xml:space="preserve"> Several sources have identified </w:t>
      </w:r>
      <w:proofErr w:type="spellStart"/>
      <w:r w:rsidR="00221F60" w:rsidRPr="008855AA">
        <w:rPr>
          <w:rFonts w:asciiTheme="majorHAnsi" w:hAnsiTheme="majorHAnsi" w:cs="Calibri"/>
          <w:sz w:val="20"/>
          <w:szCs w:val="20"/>
        </w:rPr>
        <w:t>ProSFTPB</w:t>
      </w:r>
      <w:proofErr w:type="spellEnd"/>
      <w:r w:rsidRPr="008855AA">
        <w:rPr>
          <w:rFonts w:asciiTheme="majorHAnsi" w:hAnsiTheme="majorHAnsi" w:cs="Calibri"/>
          <w:sz w:val="20"/>
          <w:szCs w:val="20"/>
        </w:rPr>
        <w:t xml:space="preserve"> as a promising potential biomarker to help diagnoses in non–small-cell lung cancer patients</w:t>
      </w:r>
      <w:r w:rsidR="002D1146">
        <w:rPr>
          <w:rFonts w:asciiTheme="majorHAnsi" w:hAnsiTheme="majorHAnsi" w:cs="Calibri"/>
          <w:sz w:val="20"/>
          <w:szCs w:val="20"/>
        </w:rPr>
        <w:t xml:space="preserve"> to provide a supporting alternative to these isolated methods</w:t>
      </w:r>
      <w:r w:rsidRPr="008855AA">
        <w:rPr>
          <w:rFonts w:asciiTheme="majorHAnsi" w:hAnsiTheme="majorHAnsi" w:cs="Calibri"/>
          <w:sz w:val="20"/>
          <w:szCs w:val="20"/>
        </w:rPr>
        <w:t xml:space="preserve"> (Fahrmann et al., 2022; Guida et al., 2018; X. J. Li et al., 2013; Luo et al., 2023; Ostrin et al., 2021; Sin et al., 2013; Taguchi et al., 2013; </w:t>
      </w:r>
      <w:proofErr w:type="spellStart"/>
      <w:r w:rsidRPr="008855AA">
        <w:rPr>
          <w:rFonts w:asciiTheme="majorHAnsi" w:hAnsiTheme="majorHAnsi" w:cs="Calibri"/>
          <w:sz w:val="20"/>
          <w:szCs w:val="20"/>
        </w:rPr>
        <w:t>Trinkmann</w:t>
      </w:r>
      <w:proofErr w:type="spellEnd"/>
      <w:r w:rsidRPr="008855AA">
        <w:rPr>
          <w:rFonts w:asciiTheme="majorHAnsi" w:hAnsiTheme="majorHAnsi" w:cs="Calibri"/>
          <w:sz w:val="20"/>
          <w:szCs w:val="20"/>
        </w:rPr>
        <w:t xml:space="preserve"> et al., 2014).</w:t>
      </w:r>
      <w:r w:rsidR="00221F60">
        <w:rPr>
          <w:rFonts w:asciiTheme="majorHAnsi" w:hAnsiTheme="majorHAnsi" w:cs="Calibri"/>
          <w:sz w:val="20"/>
          <w:szCs w:val="20"/>
        </w:rPr>
        <w:t xml:space="preserve"> </w:t>
      </w:r>
      <w:r w:rsidR="002D1146">
        <w:rPr>
          <w:rFonts w:asciiTheme="majorHAnsi" w:hAnsiTheme="majorHAnsi" w:cs="Calibri"/>
          <w:sz w:val="20"/>
          <w:szCs w:val="20"/>
        </w:rPr>
        <w:t xml:space="preserve">Abbott’s Alinity i </w:t>
      </w:r>
      <w:proofErr w:type="spellStart"/>
      <w:r w:rsidR="002D1146" w:rsidRPr="008855AA">
        <w:rPr>
          <w:rFonts w:asciiTheme="majorHAnsi" w:hAnsiTheme="majorHAnsi" w:cs="Calibri"/>
          <w:sz w:val="20"/>
          <w:szCs w:val="20"/>
        </w:rPr>
        <w:t>ProSFTPB</w:t>
      </w:r>
      <w:proofErr w:type="spellEnd"/>
      <w:r w:rsidR="002D1146">
        <w:rPr>
          <w:rFonts w:asciiTheme="majorHAnsi" w:hAnsiTheme="majorHAnsi" w:cs="Calibri"/>
          <w:sz w:val="20"/>
          <w:szCs w:val="20"/>
        </w:rPr>
        <w:t xml:space="preserve"> RUO assay is a </w:t>
      </w:r>
      <w:r w:rsidR="002D1146" w:rsidRPr="002D1146">
        <w:rPr>
          <w:rFonts w:asciiTheme="majorHAnsi" w:hAnsiTheme="majorHAnsi" w:cs="Calibri"/>
          <w:sz w:val="20"/>
          <w:szCs w:val="20"/>
        </w:rPr>
        <w:t>chemiluminescent microparticle immunoassay (CMIA)</w:t>
      </w:r>
      <w:r w:rsidR="002D1146">
        <w:rPr>
          <w:rFonts w:asciiTheme="majorHAnsi" w:hAnsiTheme="majorHAnsi" w:cs="Calibri"/>
          <w:sz w:val="20"/>
          <w:szCs w:val="20"/>
        </w:rPr>
        <w:t xml:space="preserve"> that uses a sandwich style capture and detection method</w:t>
      </w:r>
      <w:r w:rsidR="00CD358E">
        <w:rPr>
          <w:rFonts w:asciiTheme="majorHAnsi" w:hAnsiTheme="majorHAnsi" w:cs="Calibri"/>
          <w:sz w:val="20"/>
          <w:szCs w:val="20"/>
        </w:rPr>
        <w:t>.</w:t>
      </w:r>
    </w:p>
    <w:p w14:paraId="1F6FA59B" w14:textId="77777777" w:rsidR="00646CE5" w:rsidRDefault="00646CE5" w:rsidP="00BD2325">
      <w:pPr>
        <w:rPr>
          <w:rFonts w:asciiTheme="majorHAnsi" w:hAnsiTheme="majorHAnsi" w:cs="Calibri"/>
          <w:b/>
          <w:bCs/>
        </w:rPr>
      </w:pPr>
    </w:p>
    <w:p w14:paraId="78A61065" w14:textId="77777777" w:rsidR="00646CE5" w:rsidRDefault="00646CE5" w:rsidP="00BD2325">
      <w:pPr>
        <w:rPr>
          <w:rFonts w:asciiTheme="majorHAnsi" w:hAnsiTheme="majorHAnsi" w:cs="Calibri"/>
          <w:b/>
          <w:bCs/>
        </w:rPr>
      </w:pPr>
    </w:p>
    <w:p w14:paraId="4E8116C3" w14:textId="5DD6130F" w:rsidR="00384034" w:rsidRPr="00384034" w:rsidRDefault="00384034" w:rsidP="00BD2325">
      <w:pPr>
        <w:rPr>
          <w:rFonts w:asciiTheme="majorHAnsi" w:hAnsiTheme="majorHAnsi" w:cs="Calibri"/>
          <w:b/>
          <w:bCs/>
        </w:rPr>
      </w:pPr>
      <w:r w:rsidRPr="00384034">
        <w:rPr>
          <w:rFonts w:asciiTheme="majorHAnsi" w:hAnsiTheme="majorHAnsi" w:cs="Calibri"/>
          <w:b/>
          <w:bCs/>
        </w:rPr>
        <w:t>Preliminary Data and Methods</w:t>
      </w:r>
    </w:p>
    <w:p w14:paraId="3E6FD003" w14:textId="77777777" w:rsidR="00586235" w:rsidRPr="00586235" w:rsidRDefault="00586235" w:rsidP="00586235">
      <w:pPr>
        <w:rPr>
          <w:rFonts w:asciiTheme="majorHAnsi" w:hAnsiTheme="majorHAnsi" w:cs="Calibri"/>
          <w:sz w:val="20"/>
          <w:szCs w:val="20"/>
        </w:rPr>
      </w:pPr>
      <w:r w:rsidRPr="00586235">
        <w:rPr>
          <w:rFonts w:asciiTheme="majorHAnsi" w:hAnsiTheme="majorHAnsi" w:cs="Calibri"/>
          <w:sz w:val="20"/>
          <w:szCs w:val="20"/>
        </w:rPr>
        <w:t>MD Anderson Cancer Center (Houston, TX) developed a sandwich ELISA employing mouse monoclonal antibodies directed against the N</w:t>
      </w:r>
      <w:r w:rsidRPr="00586235">
        <w:rPr>
          <w:rFonts w:ascii="Cambria Math" w:hAnsi="Cambria Math" w:cs="Cambria Math"/>
          <w:sz w:val="20"/>
          <w:szCs w:val="20"/>
        </w:rPr>
        <w:t>‑</w:t>
      </w:r>
      <w:r w:rsidRPr="00586235">
        <w:rPr>
          <w:rFonts w:asciiTheme="majorHAnsi" w:hAnsiTheme="majorHAnsi" w:cs="Calibri"/>
          <w:sz w:val="20"/>
          <w:szCs w:val="20"/>
        </w:rPr>
        <w:t>terminal region of Pro</w:t>
      </w:r>
      <w:r w:rsidRPr="00586235">
        <w:rPr>
          <w:rFonts w:ascii="Aptos Display" w:hAnsi="Aptos Display" w:cs="Aptos Display"/>
          <w:sz w:val="20"/>
          <w:szCs w:val="20"/>
        </w:rPr>
        <w:t>–</w:t>
      </w:r>
      <w:r w:rsidRPr="00586235">
        <w:rPr>
          <w:rFonts w:asciiTheme="majorHAnsi" w:hAnsiTheme="majorHAnsi" w:cs="Calibri"/>
          <w:sz w:val="20"/>
          <w:szCs w:val="20"/>
        </w:rPr>
        <w:t>Surfactant Protein B (</w:t>
      </w:r>
      <w:proofErr w:type="spellStart"/>
      <w:r w:rsidRPr="00586235">
        <w:rPr>
          <w:rFonts w:asciiTheme="majorHAnsi" w:hAnsiTheme="majorHAnsi" w:cs="Calibri"/>
          <w:sz w:val="20"/>
          <w:szCs w:val="20"/>
        </w:rPr>
        <w:t>ProSFTPB</w:t>
      </w:r>
      <w:proofErr w:type="spellEnd"/>
      <w:r w:rsidRPr="00586235">
        <w:rPr>
          <w:rFonts w:asciiTheme="majorHAnsi" w:hAnsiTheme="majorHAnsi" w:cs="Calibri"/>
          <w:sz w:val="20"/>
          <w:szCs w:val="20"/>
        </w:rPr>
        <w:t>). This assay was applied to plasma and serum samples from patients with non</w:t>
      </w:r>
      <w:r w:rsidRPr="00586235">
        <w:rPr>
          <w:rFonts w:ascii="Aptos Display" w:hAnsi="Aptos Display" w:cs="Aptos Display"/>
          <w:sz w:val="20"/>
          <w:szCs w:val="20"/>
        </w:rPr>
        <w:t>–</w:t>
      </w:r>
      <w:r w:rsidRPr="00586235">
        <w:rPr>
          <w:rFonts w:asciiTheme="majorHAnsi" w:hAnsiTheme="majorHAnsi" w:cs="Calibri"/>
          <w:sz w:val="20"/>
          <w:szCs w:val="20"/>
        </w:rPr>
        <w:t xml:space="preserve">small cell lung cancer (NSCLC) and from matched control subjects selected </w:t>
      </w:r>
      <w:r w:rsidRPr="00586235">
        <w:rPr>
          <w:rFonts w:asciiTheme="majorHAnsi" w:hAnsiTheme="majorHAnsi" w:cs="Calibri"/>
          <w:sz w:val="20"/>
          <w:szCs w:val="20"/>
        </w:rPr>
        <w:lastRenderedPageBreak/>
        <w:t xml:space="preserve">for age, sex, and additional demographic variables. The study demonstrated that circulating </w:t>
      </w:r>
      <w:proofErr w:type="spellStart"/>
      <w:r w:rsidRPr="00586235">
        <w:rPr>
          <w:rFonts w:asciiTheme="majorHAnsi" w:hAnsiTheme="majorHAnsi" w:cs="Calibri"/>
          <w:sz w:val="20"/>
          <w:szCs w:val="20"/>
        </w:rPr>
        <w:t>ProSFTPB</w:t>
      </w:r>
      <w:proofErr w:type="spellEnd"/>
      <w:r w:rsidRPr="00586235">
        <w:rPr>
          <w:rFonts w:asciiTheme="majorHAnsi" w:hAnsiTheme="majorHAnsi" w:cs="Calibri"/>
          <w:sz w:val="20"/>
          <w:szCs w:val="20"/>
        </w:rPr>
        <w:t xml:space="preserve"> concentrations are significantly associated with the presence of lung cancer.</w:t>
      </w:r>
    </w:p>
    <w:p w14:paraId="294144C1" w14:textId="52F5E64D" w:rsidR="00DD2E90" w:rsidRDefault="00586235" w:rsidP="00DD2E90">
      <w:pPr>
        <w:rPr>
          <w:rFonts w:asciiTheme="majorHAnsi" w:hAnsiTheme="majorHAnsi" w:cs="Calibri"/>
          <w:sz w:val="20"/>
          <w:szCs w:val="20"/>
        </w:rPr>
      </w:pPr>
      <w:proofErr w:type="spellStart"/>
      <w:r w:rsidRPr="00586235">
        <w:rPr>
          <w:rFonts w:asciiTheme="majorHAnsi" w:hAnsiTheme="majorHAnsi" w:cs="Calibri"/>
          <w:sz w:val="20"/>
          <w:szCs w:val="20"/>
        </w:rPr>
        <w:t>ProSFTPB</w:t>
      </w:r>
      <w:proofErr w:type="spellEnd"/>
      <w:r w:rsidRPr="00586235">
        <w:rPr>
          <w:rFonts w:asciiTheme="majorHAnsi" w:hAnsiTheme="majorHAnsi" w:cs="Calibri"/>
          <w:sz w:val="20"/>
          <w:szCs w:val="20"/>
        </w:rPr>
        <w:t>, when combined with the established serum/plasma biomarkers CEA, CA125, and CYFRA21</w:t>
      </w:r>
      <w:r w:rsidRPr="00586235">
        <w:rPr>
          <w:rFonts w:ascii="Cambria Math" w:hAnsi="Cambria Math" w:cs="Cambria Math"/>
          <w:sz w:val="20"/>
          <w:szCs w:val="20"/>
        </w:rPr>
        <w:t>‑</w:t>
      </w:r>
      <w:r w:rsidRPr="00586235">
        <w:rPr>
          <w:rFonts w:asciiTheme="majorHAnsi" w:hAnsiTheme="majorHAnsi" w:cs="Calibri"/>
          <w:sz w:val="20"/>
          <w:szCs w:val="20"/>
        </w:rPr>
        <w:t>1, constitutes the four</w:t>
      </w:r>
      <w:r w:rsidRPr="00586235">
        <w:rPr>
          <w:rFonts w:ascii="Cambria Math" w:hAnsi="Cambria Math" w:cs="Cambria Math"/>
          <w:sz w:val="20"/>
          <w:szCs w:val="20"/>
        </w:rPr>
        <w:t>‑</w:t>
      </w:r>
      <w:r w:rsidRPr="00586235">
        <w:rPr>
          <w:rFonts w:asciiTheme="majorHAnsi" w:hAnsiTheme="majorHAnsi" w:cs="Calibri"/>
          <w:sz w:val="20"/>
          <w:szCs w:val="20"/>
        </w:rPr>
        <w:t>marker panel (4MP) algorithm. The algorithm is calculated as follows</w:t>
      </w:r>
      <w:r w:rsidR="00483F3E">
        <w:rPr>
          <w:rFonts w:asciiTheme="majorHAnsi" w:hAnsiTheme="majorHAnsi" w:cs="Calibri"/>
          <w:sz w:val="20"/>
          <w:szCs w:val="20"/>
        </w:rPr>
        <w:t xml:space="preserve"> (</w:t>
      </w:r>
      <w:r w:rsidR="00483F3E" w:rsidRPr="00BD2325">
        <w:rPr>
          <w:rFonts w:asciiTheme="majorHAnsi" w:hAnsiTheme="majorHAnsi"/>
          <w:sz w:val="20"/>
          <w:szCs w:val="20"/>
        </w:rPr>
        <w:t xml:space="preserve">Ehsan </w:t>
      </w:r>
      <w:proofErr w:type="spellStart"/>
      <w:r w:rsidR="00483F3E" w:rsidRPr="00BD2325">
        <w:rPr>
          <w:rFonts w:asciiTheme="majorHAnsi" w:hAnsiTheme="majorHAnsi"/>
          <w:sz w:val="20"/>
          <w:szCs w:val="20"/>
        </w:rPr>
        <w:t>Irajizad</w:t>
      </w:r>
      <w:proofErr w:type="spellEnd"/>
      <w:r w:rsidR="00483F3E" w:rsidRPr="00BD2325">
        <w:rPr>
          <w:rFonts w:asciiTheme="majorHAnsi" w:hAnsiTheme="majorHAnsi"/>
          <w:sz w:val="20"/>
          <w:szCs w:val="20"/>
        </w:rPr>
        <w:t>, et al</w:t>
      </w:r>
      <w:r w:rsidRPr="00586235">
        <w:rPr>
          <w:rFonts w:asciiTheme="majorHAnsi" w:hAnsiTheme="majorHAnsi" w:cs="Calibri"/>
          <w:sz w:val="20"/>
          <w:szCs w:val="20"/>
        </w:rPr>
        <w:t>:</w:t>
      </w:r>
      <w:r w:rsidR="00DD2E90" w:rsidRPr="00DD2E90">
        <w:rPr>
          <w:rFonts w:asciiTheme="majorHAnsi" w:hAnsiTheme="majorHAnsi" w:cs="Calibri"/>
          <w:sz w:val="20"/>
          <w:szCs w:val="20"/>
        </w:rPr>
        <w:t xml:space="preserve"> </w:t>
      </w:r>
    </w:p>
    <w:p w14:paraId="72BC4794" w14:textId="77777777" w:rsidR="00DD2E90" w:rsidRDefault="00DD2E90" w:rsidP="00BD2325">
      <w:pPr>
        <w:rPr>
          <w:rFonts w:asciiTheme="majorHAnsi" w:hAnsiTheme="majorHAnsi" w:cs="Calibri"/>
          <w:sz w:val="20"/>
          <w:szCs w:val="20"/>
        </w:rPr>
      </w:pPr>
      <w:r>
        <w:rPr>
          <w:rFonts w:asciiTheme="majorHAnsi" w:hAnsiTheme="majorHAnsi" w:cs="Calibri"/>
          <w:sz w:val="20"/>
          <w:szCs w:val="20"/>
        </w:rPr>
        <w:t xml:space="preserve">4MP Score = </w:t>
      </w:r>
      <w:r w:rsidRPr="00DD2E90">
        <w:rPr>
          <w:rFonts w:asciiTheme="majorHAnsi" w:hAnsiTheme="majorHAnsi" w:cs="Calibri"/>
          <w:sz w:val="20"/>
          <w:szCs w:val="20"/>
        </w:rPr>
        <w:t>[( 0.4730*log(CA125) + 0.6531*log(CEA) + 0.2613*log(CYFRA) + 0.9238*log(</w:t>
      </w:r>
      <w:proofErr w:type="spellStart"/>
      <w:r w:rsidRPr="00DD2E90">
        <w:rPr>
          <w:rFonts w:asciiTheme="majorHAnsi" w:hAnsiTheme="majorHAnsi" w:cs="Calibri"/>
          <w:sz w:val="20"/>
          <w:szCs w:val="20"/>
        </w:rPr>
        <w:t>ProSFTPB</w:t>
      </w:r>
      <w:proofErr w:type="spellEnd"/>
      <w:r w:rsidRPr="00DD2E90">
        <w:rPr>
          <w:rFonts w:asciiTheme="majorHAnsi" w:hAnsiTheme="majorHAnsi" w:cs="Calibri"/>
          <w:sz w:val="20"/>
          <w:szCs w:val="20"/>
        </w:rPr>
        <w:t>)]</w:t>
      </w:r>
      <w:r>
        <w:rPr>
          <w:rFonts w:asciiTheme="majorHAnsi" w:hAnsiTheme="majorHAnsi" w:cs="Calibri"/>
          <w:sz w:val="20"/>
          <w:szCs w:val="20"/>
        </w:rPr>
        <w:t xml:space="preserve">    </w:t>
      </w:r>
    </w:p>
    <w:p w14:paraId="4BEBCB08" w14:textId="2EC6922C" w:rsidR="00DD2E90" w:rsidRDefault="001A15A7" w:rsidP="00BD2325">
      <w:pPr>
        <w:rPr>
          <w:rFonts w:asciiTheme="majorHAnsi" w:hAnsiTheme="majorHAnsi" w:cs="Calibri"/>
          <w:sz w:val="20"/>
          <w:szCs w:val="20"/>
        </w:rPr>
      </w:pPr>
      <w:r w:rsidRPr="001A15A7">
        <w:rPr>
          <w:rFonts w:asciiTheme="majorHAnsi" w:hAnsiTheme="majorHAnsi" w:cs="Calibri"/>
          <w:sz w:val="20"/>
          <w:szCs w:val="20"/>
        </w:rPr>
        <w:t xml:space="preserve">Receiver operating characteristic (ROC) analyses demonstrated that inclusion of </w:t>
      </w:r>
      <w:proofErr w:type="spellStart"/>
      <w:r w:rsidRPr="001A15A7">
        <w:rPr>
          <w:rFonts w:asciiTheme="majorHAnsi" w:hAnsiTheme="majorHAnsi" w:cs="Calibri"/>
          <w:sz w:val="20"/>
          <w:szCs w:val="20"/>
        </w:rPr>
        <w:t>ProSFTPB</w:t>
      </w:r>
      <w:proofErr w:type="spellEnd"/>
      <w:r w:rsidRPr="001A15A7">
        <w:rPr>
          <w:rFonts w:asciiTheme="majorHAnsi" w:hAnsiTheme="majorHAnsi" w:cs="Calibri"/>
          <w:sz w:val="20"/>
          <w:szCs w:val="20"/>
        </w:rPr>
        <w:t xml:space="preserve"> substantially improves diagnostic performance, increasing the area under the curve (AUC) from 0.669 (without </w:t>
      </w:r>
      <w:proofErr w:type="spellStart"/>
      <w:r w:rsidRPr="001A15A7">
        <w:rPr>
          <w:rFonts w:asciiTheme="majorHAnsi" w:hAnsiTheme="majorHAnsi" w:cs="Calibri"/>
          <w:sz w:val="20"/>
          <w:szCs w:val="20"/>
        </w:rPr>
        <w:t>ProSFTPB</w:t>
      </w:r>
      <w:proofErr w:type="spellEnd"/>
      <w:r w:rsidRPr="001A15A7">
        <w:rPr>
          <w:rFonts w:asciiTheme="majorHAnsi" w:hAnsiTheme="majorHAnsi" w:cs="Calibri"/>
          <w:sz w:val="20"/>
          <w:szCs w:val="20"/>
        </w:rPr>
        <w:t xml:space="preserve">) to 0.741 in the evaluated study population (Sin, Don D., et al.). </w:t>
      </w:r>
      <w:r w:rsidR="00700C55">
        <w:rPr>
          <w:rFonts w:asciiTheme="majorHAnsi" w:hAnsiTheme="majorHAnsi" w:cs="Calibri"/>
          <w:sz w:val="20"/>
          <w:szCs w:val="20"/>
        </w:rPr>
        <w:t>(</w:t>
      </w:r>
      <w:r w:rsidRPr="001A15A7">
        <w:rPr>
          <w:rFonts w:asciiTheme="majorHAnsi" w:hAnsiTheme="majorHAnsi" w:cs="Calibri"/>
          <w:sz w:val="20"/>
          <w:szCs w:val="20"/>
        </w:rPr>
        <w:t>See Figure 1</w:t>
      </w:r>
      <w:r w:rsidR="00ED1A07">
        <w:rPr>
          <w:rFonts w:asciiTheme="majorHAnsi" w:hAnsiTheme="majorHAnsi" w:cs="Calibri"/>
          <w:sz w:val="20"/>
          <w:szCs w:val="20"/>
        </w:rPr>
        <w:t>).</w:t>
      </w:r>
    </w:p>
    <w:p w14:paraId="530E24CA" w14:textId="77777777" w:rsidR="00E168A6" w:rsidRDefault="00E168A6" w:rsidP="00BD2325">
      <w:pPr>
        <w:rPr>
          <w:rFonts w:asciiTheme="majorHAnsi" w:hAnsiTheme="majorHAnsi" w:cs="Calibri"/>
          <w:b/>
          <w:bCs/>
          <w:sz w:val="20"/>
          <w:szCs w:val="20"/>
        </w:rPr>
      </w:pPr>
    </w:p>
    <w:p w14:paraId="48FC4A08" w14:textId="17BD4509" w:rsidR="00E168A6" w:rsidRPr="00E168A6" w:rsidRDefault="00E168A6" w:rsidP="00BD2325">
      <w:pPr>
        <w:rPr>
          <w:rFonts w:asciiTheme="majorHAnsi" w:hAnsiTheme="majorHAnsi" w:cs="Calibri"/>
          <w:b/>
          <w:bCs/>
          <w:sz w:val="20"/>
          <w:szCs w:val="20"/>
        </w:rPr>
      </w:pPr>
      <w:r w:rsidRPr="00E168A6">
        <w:rPr>
          <w:rFonts w:asciiTheme="majorHAnsi" w:hAnsiTheme="majorHAnsi" w:cs="Calibri"/>
          <w:b/>
          <w:bCs/>
          <w:sz w:val="20"/>
          <w:szCs w:val="20"/>
        </w:rPr>
        <w:t>Figure 1:</w:t>
      </w:r>
    </w:p>
    <w:p w14:paraId="33605078" w14:textId="3E417015" w:rsidR="00750DED" w:rsidRDefault="00BD2325" w:rsidP="00BD2325">
      <w:pPr>
        <w:jc w:val="center"/>
        <w:rPr>
          <w:rFonts w:asciiTheme="majorHAnsi" w:hAnsiTheme="majorHAnsi"/>
          <w:sz w:val="20"/>
          <w:szCs w:val="20"/>
        </w:rPr>
      </w:pPr>
      <w:r w:rsidRPr="00BD2325">
        <w:rPr>
          <w:rFonts w:asciiTheme="majorHAnsi" w:hAnsiTheme="majorHAnsi" w:cs="Calibri"/>
          <w:noProof/>
          <w:sz w:val="20"/>
          <w:szCs w:val="20"/>
        </w:rPr>
        <w:drawing>
          <wp:inline distT="0" distB="0" distL="0" distR="0" wp14:anchorId="6F75AFEA" wp14:editId="10EA9F7E">
            <wp:extent cx="3857625" cy="3125710"/>
            <wp:effectExtent l="0" t="0" r="0" b="0"/>
            <wp:docPr id="1977833405"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33405" name="Picture 1" descr="A graph of a line&#10;&#10;AI-generated content may be incorrect."/>
                    <pic:cNvPicPr/>
                  </pic:nvPicPr>
                  <pic:blipFill>
                    <a:blip r:embed="rId7"/>
                    <a:stretch>
                      <a:fillRect/>
                    </a:stretch>
                  </pic:blipFill>
                  <pic:spPr>
                    <a:xfrm>
                      <a:off x="0" y="0"/>
                      <a:ext cx="3858574" cy="3126479"/>
                    </a:xfrm>
                    <a:prstGeom prst="rect">
                      <a:avLst/>
                    </a:prstGeom>
                  </pic:spPr>
                </pic:pic>
              </a:graphicData>
            </a:graphic>
          </wp:inline>
        </w:drawing>
      </w:r>
    </w:p>
    <w:p w14:paraId="6D9F9F27" w14:textId="77777777" w:rsidR="00814E0B" w:rsidRDefault="00814E0B" w:rsidP="00903C2B">
      <w:pPr>
        <w:rPr>
          <w:rFonts w:asciiTheme="majorHAnsi" w:hAnsiTheme="majorHAnsi"/>
          <w:sz w:val="20"/>
          <w:szCs w:val="20"/>
        </w:rPr>
      </w:pPr>
    </w:p>
    <w:p w14:paraId="0928853C" w14:textId="4E6BCB4E" w:rsidR="00814E0B" w:rsidRPr="00814E0B" w:rsidRDefault="00814E0B" w:rsidP="00814E0B">
      <w:pPr>
        <w:rPr>
          <w:rFonts w:asciiTheme="majorHAnsi" w:hAnsiTheme="majorHAnsi"/>
          <w:sz w:val="20"/>
          <w:szCs w:val="20"/>
        </w:rPr>
      </w:pPr>
      <w:r w:rsidRPr="00814E0B">
        <w:rPr>
          <w:rFonts w:asciiTheme="majorHAnsi" w:hAnsiTheme="majorHAnsi"/>
          <w:sz w:val="20"/>
          <w:szCs w:val="20"/>
        </w:rPr>
        <w:t>Internally at Abbott Laboratories (Abbott Park, IL), we evaluated the feasibility of integrating results from Abbott Alinity</w:t>
      </w:r>
      <w:r w:rsidRPr="00814E0B">
        <w:rPr>
          <w:rFonts w:ascii="Cambria Math" w:hAnsi="Cambria Math" w:cs="Cambria Math"/>
          <w:sz w:val="20"/>
          <w:szCs w:val="20"/>
        </w:rPr>
        <w:t>‑</w:t>
      </w:r>
      <w:r w:rsidRPr="00814E0B">
        <w:rPr>
          <w:rFonts w:asciiTheme="majorHAnsi" w:hAnsiTheme="majorHAnsi"/>
          <w:sz w:val="20"/>
          <w:szCs w:val="20"/>
        </w:rPr>
        <w:t>i immunoassays</w:t>
      </w:r>
      <w:r w:rsidRPr="00814E0B">
        <w:rPr>
          <w:rFonts w:ascii="Aptos Display" w:hAnsi="Aptos Display" w:cs="Aptos Display"/>
          <w:sz w:val="20"/>
          <w:szCs w:val="20"/>
        </w:rPr>
        <w:t>—</w:t>
      </w:r>
      <w:r w:rsidRPr="00814E0B">
        <w:rPr>
          <w:rFonts w:asciiTheme="majorHAnsi" w:hAnsiTheme="majorHAnsi"/>
          <w:sz w:val="20"/>
          <w:szCs w:val="20"/>
        </w:rPr>
        <w:t>including CEA, CA125, and CYFRA21</w:t>
      </w:r>
      <w:r w:rsidRPr="00814E0B">
        <w:rPr>
          <w:rFonts w:ascii="Cambria Math" w:hAnsi="Cambria Math" w:cs="Cambria Math"/>
          <w:sz w:val="20"/>
          <w:szCs w:val="20"/>
        </w:rPr>
        <w:t>‑</w:t>
      </w:r>
      <w:r w:rsidRPr="00814E0B">
        <w:rPr>
          <w:rFonts w:asciiTheme="majorHAnsi" w:hAnsiTheme="majorHAnsi"/>
          <w:sz w:val="20"/>
          <w:szCs w:val="20"/>
        </w:rPr>
        <w:t>1, among others</w:t>
      </w:r>
      <w:r w:rsidRPr="00814E0B">
        <w:rPr>
          <w:rFonts w:ascii="Aptos Display" w:hAnsi="Aptos Display" w:cs="Aptos Display"/>
          <w:sz w:val="20"/>
          <w:szCs w:val="20"/>
        </w:rPr>
        <w:t>—</w:t>
      </w:r>
      <w:r w:rsidRPr="00814E0B">
        <w:rPr>
          <w:rFonts w:asciiTheme="majorHAnsi" w:hAnsiTheme="majorHAnsi"/>
          <w:sz w:val="20"/>
          <w:szCs w:val="20"/>
        </w:rPr>
        <w:t>with clinical variables such as age, sex, and additional patient characteristics. The resulting predictive model, developed at Abbott Laboratories, is referred to as the Decision Tree model.</w:t>
      </w:r>
      <w:r>
        <w:rPr>
          <w:rFonts w:asciiTheme="majorHAnsi" w:hAnsiTheme="majorHAnsi"/>
          <w:sz w:val="20"/>
          <w:szCs w:val="20"/>
        </w:rPr>
        <w:t xml:space="preserve"> </w:t>
      </w:r>
      <w:r w:rsidRPr="00814E0B">
        <w:rPr>
          <w:rFonts w:asciiTheme="majorHAnsi" w:hAnsiTheme="majorHAnsi"/>
          <w:sz w:val="20"/>
          <w:szCs w:val="20"/>
        </w:rPr>
        <w:t>Performance analysis demonstrated that the Decision Tree model achieved an AUC superior to currently available clinical prediction tools, including the Mayo Score developed by the Mayo Clinic (0.815 vs. 0.787) (Jackson, Laurel, et al.).</w:t>
      </w:r>
    </w:p>
    <w:p w14:paraId="728C0890" w14:textId="77777777" w:rsidR="00814E0B" w:rsidRPr="00814E0B" w:rsidRDefault="00814E0B" w:rsidP="00814E0B">
      <w:pPr>
        <w:rPr>
          <w:rFonts w:asciiTheme="majorHAnsi" w:hAnsiTheme="majorHAnsi"/>
          <w:sz w:val="20"/>
          <w:szCs w:val="20"/>
        </w:rPr>
      </w:pPr>
      <w:r w:rsidRPr="00814E0B">
        <w:rPr>
          <w:rFonts w:asciiTheme="majorHAnsi" w:hAnsiTheme="majorHAnsi"/>
          <w:sz w:val="20"/>
          <w:szCs w:val="20"/>
        </w:rPr>
        <w:t xml:space="preserve">Findings from the MD Anderson ELISA studies suggest that incorporation of </w:t>
      </w:r>
      <w:proofErr w:type="spellStart"/>
      <w:r w:rsidRPr="00814E0B">
        <w:rPr>
          <w:rFonts w:asciiTheme="majorHAnsi" w:hAnsiTheme="majorHAnsi"/>
          <w:sz w:val="20"/>
          <w:szCs w:val="20"/>
        </w:rPr>
        <w:t>ProSFTPB</w:t>
      </w:r>
      <w:proofErr w:type="spellEnd"/>
      <w:r w:rsidRPr="00814E0B">
        <w:rPr>
          <w:rFonts w:asciiTheme="majorHAnsi" w:hAnsiTheme="majorHAnsi"/>
          <w:sz w:val="20"/>
          <w:szCs w:val="20"/>
        </w:rPr>
        <w:t xml:space="preserve"> into multivariable algorithms may further improve discriminative performance. In parallel, the Research Use Only (RUO) team at Abbott Laboratories developed an automated chemiluminescent immunoassay for </w:t>
      </w:r>
      <w:proofErr w:type="spellStart"/>
      <w:r w:rsidRPr="00814E0B">
        <w:rPr>
          <w:rFonts w:asciiTheme="majorHAnsi" w:hAnsiTheme="majorHAnsi"/>
          <w:sz w:val="20"/>
          <w:szCs w:val="20"/>
        </w:rPr>
        <w:t>ProSFTPB</w:t>
      </w:r>
      <w:proofErr w:type="spellEnd"/>
      <w:r w:rsidRPr="00814E0B">
        <w:rPr>
          <w:rFonts w:asciiTheme="majorHAnsi" w:hAnsiTheme="majorHAnsi"/>
          <w:sz w:val="20"/>
          <w:szCs w:val="20"/>
        </w:rPr>
        <w:t xml:space="preserve">. Initial analytical and clinical evaluations showed statistically significant differences in </w:t>
      </w:r>
      <w:proofErr w:type="spellStart"/>
      <w:r w:rsidRPr="00814E0B">
        <w:rPr>
          <w:rFonts w:asciiTheme="majorHAnsi" w:hAnsiTheme="majorHAnsi"/>
          <w:sz w:val="20"/>
          <w:szCs w:val="20"/>
        </w:rPr>
        <w:t>ProSFTPB</w:t>
      </w:r>
      <w:proofErr w:type="spellEnd"/>
      <w:r w:rsidRPr="00814E0B">
        <w:rPr>
          <w:rFonts w:asciiTheme="majorHAnsi" w:hAnsiTheme="majorHAnsi"/>
          <w:sz w:val="20"/>
          <w:szCs w:val="20"/>
        </w:rPr>
        <w:t xml:space="preserve"> concentrations between individuals without NSCLC and those with confirmed disease (see Figure 2).</w:t>
      </w:r>
    </w:p>
    <w:p w14:paraId="44566FC0" w14:textId="01317E3E" w:rsidR="00814E0B" w:rsidRDefault="00814E0B" w:rsidP="00814E0B">
      <w:pPr>
        <w:rPr>
          <w:rFonts w:asciiTheme="majorHAnsi" w:hAnsiTheme="majorHAnsi"/>
          <w:sz w:val="20"/>
          <w:szCs w:val="20"/>
        </w:rPr>
      </w:pPr>
      <w:r w:rsidRPr="00814E0B">
        <w:rPr>
          <w:rFonts w:asciiTheme="majorHAnsi" w:hAnsiTheme="majorHAnsi"/>
          <w:sz w:val="20"/>
          <w:szCs w:val="20"/>
        </w:rPr>
        <w:lastRenderedPageBreak/>
        <w:t>Moreover, the prototype immunoassay yielded an AUC of 0.723, which is consistent with the performance reported in prior MD Anderson evaluations (see Figure 3).</w:t>
      </w:r>
    </w:p>
    <w:p w14:paraId="47E94079" w14:textId="77777777" w:rsidR="00A249D3" w:rsidRDefault="00A249D3" w:rsidP="00903C2B">
      <w:pPr>
        <w:rPr>
          <w:rFonts w:asciiTheme="majorHAnsi" w:hAnsiTheme="majorHAnsi"/>
          <w:sz w:val="20"/>
          <w:szCs w:val="20"/>
        </w:rPr>
      </w:pPr>
    </w:p>
    <w:p w14:paraId="38C2791D" w14:textId="77777777" w:rsidR="00952F7F" w:rsidRDefault="00952F7F" w:rsidP="00903C2B">
      <w:pPr>
        <w:rPr>
          <w:rFonts w:asciiTheme="majorHAnsi" w:hAnsiTheme="majorHAnsi"/>
          <w:sz w:val="20"/>
          <w:szCs w:val="20"/>
        </w:rPr>
      </w:pPr>
    </w:p>
    <w:p w14:paraId="207855B7" w14:textId="77777777" w:rsidR="0020721E" w:rsidRDefault="0020721E" w:rsidP="00903C2B">
      <w:pPr>
        <w:rPr>
          <w:rFonts w:asciiTheme="majorHAnsi" w:hAnsiTheme="majorHAnsi"/>
          <w:sz w:val="20"/>
          <w:szCs w:val="20"/>
        </w:rPr>
      </w:pPr>
    </w:p>
    <w:p w14:paraId="1F12B85A" w14:textId="36DC5CB6" w:rsidR="00E168A6" w:rsidRPr="00E168A6" w:rsidRDefault="00E168A6" w:rsidP="00903C2B">
      <w:pPr>
        <w:rPr>
          <w:rFonts w:asciiTheme="majorHAnsi" w:hAnsiTheme="majorHAnsi"/>
          <w:b/>
          <w:bCs/>
          <w:sz w:val="20"/>
          <w:szCs w:val="20"/>
        </w:rPr>
      </w:pPr>
      <w:r>
        <w:rPr>
          <w:rFonts w:asciiTheme="majorHAnsi" w:hAnsiTheme="majorHAnsi"/>
          <w:b/>
          <w:bCs/>
          <w:sz w:val="20"/>
          <w:szCs w:val="20"/>
        </w:rPr>
        <w:t>Figure 2:</w:t>
      </w:r>
    </w:p>
    <w:p w14:paraId="77BBC22B" w14:textId="3D076C58" w:rsidR="00A249D3" w:rsidRDefault="00EB040A" w:rsidP="00903C2B">
      <w:pPr>
        <w:rPr>
          <w:rFonts w:asciiTheme="majorHAnsi" w:hAnsiTheme="majorHAnsi"/>
          <w:sz w:val="20"/>
          <w:szCs w:val="20"/>
        </w:rPr>
      </w:pPr>
      <w:r w:rsidRPr="00EB040A">
        <w:rPr>
          <w:rFonts w:asciiTheme="majorHAnsi" w:hAnsiTheme="majorHAnsi"/>
          <w:noProof/>
          <w:sz w:val="20"/>
          <w:szCs w:val="20"/>
        </w:rPr>
        <w:drawing>
          <wp:inline distT="0" distB="0" distL="0" distR="0" wp14:anchorId="60D4485B" wp14:editId="5F57C263">
            <wp:extent cx="3972154" cy="2227496"/>
            <wp:effectExtent l="0" t="0" r="0" b="1905"/>
            <wp:docPr id="535142835" name="Picture 1"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42835" name="Picture 1" descr="A screen shot of a graph&#10;&#10;AI-generated content may be incorrect."/>
                    <pic:cNvPicPr/>
                  </pic:nvPicPr>
                  <pic:blipFill>
                    <a:blip r:embed="rId8"/>
                    <a:stretch>
                      <a:fillRect/>
                    </a:stretch>
                  </pic:blipFill>
                  <pic:spPr>
                    <a:xfrm>
                      <a:off x="0" y="0"/>
                      <a:ext cx="3993631" cy="2239540"/>
                    </a:xfrm>
                    <a:prstGeom prst="rect">
                      <a:avLst/>
                    </a:prstGeom>
                  </pic:spPr>
                </pic:pic>
              </a:graphicData>
            </a:graphic>
          </wp:inline>
        </w:drawing>
      </w:r>
    </w:p>
    <w:p w14:paraId="08783E87" w14:textId="060131C5" w:rsidR="00D8349E" w:rsidRPr="000C3DD4" w:rsidRDefault="000C3DD4" w:rsidP="00903C2B">
      <w:pPr>
        <w:rPr>
          <w:rFonts w:asciiTheme="majorHAnsi" w:hAnsiTheme="majorHAnsi"/>
          <w:i/>
          <w:iCs/>
          <w:sz w:val="20"/>
          <w:szCs w:val="20"/>
        </w:rPr>
      </w:pPr>
      <w:r w:rsidRPr="000C3DD4">
        <w:rPr>
          <w:rFonts w:asciiTheme="majorHAnsi" w:hAnsiTheme="majorHAnsi"/>
          <w:i/>
          <w:iCs/>
          <w:sz w:val="20"/>
          <w:szCs w:val="20"/>
        </w:rPr>
        <w:t xml:space="preserve">T-Test demonstrating a statistically significant between patients not diagnosed with NSCLC (donors) and those patients with a diagnosis. </w:t>
      </w:r>
    </w:p>
    <w:p w14:paraId="2C8AF881" w14:textId="77777777" w:rsidR="00E478DA" w:rsidRDefault="00E478DA" w:rsidP="00903C2B">
      <w:pPr>
        <w:rPr>
          <w:rFonts w:asciiTheme="majorHAnsi" w:hAnsiTheme="majorHAnsi"/>
          <w:b/>
          <w:bCs/>
          <w:sz w:val="20"/>
          <w:szCs w:val="20"/>
        </w:rPr>
      </w:pPr>
    </w:p>
    <w:p w14:paraId="27E98ED9" w14:textId="0889E10A" w:rsidR="00EB040A" w:rsidRDefault="00EB040A" w:rsidP="00903C2B">
      <w:pPr>
        <w:rPr>
          <w:rFonts w:asciiTheme="majorHAnsi" w:hAnsiTheme="majorHAnsi"/>
          <w:b/>
          <w:bCs/>
          <w:sz w:val="20"/>
          <w:szCs w:val="20"/>
        </w:rPr>
      </w:pPr>
      <w:r>
        <w:rPr>
          <w:rFonts w:asciiTheme="majorHAnsi" w:hAnsiTheme="majorHAnsi"/>
          <w:b/>
          <w:bCs/>
          <w:sz w:val="20"/>
          <w:szCs w:val="20"/>
        </w:rPr>
        <w:t xml:space="preserve">Figure 3: </w:t>
      </w:r>
    </w:p>
    <w:p w14:paraId="1D4D6FFF" w14:textId="02341D9C" w:rsidR="000C3DD4" w:rsidRPr="00EB040A" w:rsidRDefault="000D5AC5" w:rsidP="00903C2B">
      <w:pPr>
        <w:rPr>
          <w:rFonts w:asciiTheme="majorHAnsi" w:hAnsiTheme="majorHAnsi"/>
          <w:b/>
          <w:bCs/>
          <w:sz w:val="20"/>
          <w:szCs w:val="20"/>
        </w:rPr>
      </w:pPr>
      <w:r w:rsidRPr="000D5AC5">
        <w:rPr>
          <w:rFonts w:asciiTheme="majorHAnsi" w:hAnsiTheme="majorHAnsi"/>
          <w:b/>
          <w:bCs/>
          <w:sz w:val="20"/>
          <w:szCs w:val="20"/>
        </w:rPr>
        <w:lastRenderedPageBreak/>
        <w:t> </w:t>
      </w:r>
      <w:r w:rsidRPr="000D5AC5">
        <w:rPr>
          <w:rFonts w:asciiTheme="majorHAnsi" w:hAnsiTheme="majorHAnsi"/>
          <w:b/>
          <w:bCs/>
          <w:noProof/>
          <w:sz w:val="20"/>
          <w:szCs w:val="20"/>
        </w:rPr>
        <w:drawing>
          <wp:inline distT="0" distB="0" distL="0" distR="0" wp14:anchorId="2B97354A" wp14:editId="3166B93F">
            <wp:extent cx="4556760" cy="3370167"/>
            <wp:effectExtent l="0" t="0" r="0" b="1905"/>
            <wp:docPr id="2011905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4668" cy="3376015"/>
                    </a:xfrm>
                    <a:prstGeom prst="rect">
                      <a:avLst/>
                    </a:prstGeom>
                    <a:noFill/>
                    <a:ln>
                      <a:noFill/>
                    </a:ln>
                  </pic:spPr>
                </pic:pic>
              </a:graphicData>
            </a:graphic>
          </wp:inline>
        </w:drawing>
      </w:r>
    </w:p>
    <w:p w14:paraId="3D7721FF" w14:textId="1CBDAEFC" w:rsidR="00646CE5" w:rsidRDefault="000C3DD4" w:rsidP="00137CB5">
      <w:pPr>
        <w:rPr>
          <w:rFonts w:asciiTheme="majorHAnsi" w:hAnsiTheme="majorHAnsi"/>
          <w:i/>
          <w:iCs/>
          <w:sz w:val="20"/>
          <w:szCs w:val="20"/>
        </w:rPr>
      </w:pPr>
      <w:r w:rsidRPr="00384034">
        <w:rPr>
          <w:rFonts w:asciiTheme="majorHAnsi" w:hAnsiTheme="majorHAnsi"/>
          <w:i/>
          <w:iCs/>
          <w:sz w:val="20"/>
          <w:szCs w:val="20"/>
        </w:rPr>
        <w:t xml:space="preserve">Receiver Operating Characteristic (ROC) curve demonstrating the AUC for the Abbott Laboratories </w:t>
      </w:r>
      <w:proofErr w:type="spellStart"/>
      <w:r w:rsidRPr="00384034">
        <w:rPr>
          <w:rFonts w:asciiTheme="majorHAnsi" w:hAnsiTheme="majorHAnsi"/>
          <w:i/>
          <w:iCs/>
          <w:sz w:val="20"/>
          <w:szCs w:val="20"/>
        </w:rPr>
        <w:t>ProSFTPB</w:t>
      </w:r>
      <w:proofErr w:type="spellEnd"/>
      <w:r w:rsidRPr="00384034">
        <w:rPr>
          <w:rFonts w:asciiTheme="majorHAnsi" w:hAnsiTheme="majorHAnsi"/>
          <w:i/>
          <w:iCs/>
          <w:sz w:val="20"/>
          <w:szCs w:val="20"/>
        </w:rPr>
        <w:t xml:space="preserve"> immunoassay </w:t>
      </w:r>
      <w:r w:rsidR="00384034" w:rsidRPr="00384034">
        <w:rPr>
          <w:rFonts w:asciiTheme="majorHAnsi" w:hAnsiTheme="majorHAnsi"/>
          <w:i/>
          <w:iCs/>
          <w:sz w:val="20"/>
          <w:szCs w:val="20"/>
        </w:rPr>
        <w:t>is 0.7</w:t>
      </w:r>
      <w:r w:rsidR="00634BC6">
        <w:rPr>
          <w:rFonts w:asciiTheme="majorHAnsi" w:hAnsiTheme="majorHAnsi"/>
          <w:i/>
          <w:iCs/>
          <w:sz w:val="20"/>
          <w:szCs w:val="20"/>
        </w:rPr>
        <w:t>5</w:t>
      </w:r>
      <w:r w:rsidR="00054050">
        <w:rPr>
          <w:rFonts w:asciiTheme="majorHAnsi" w:hAnsiTheme="majorHAnsi"/>
          <w:i/>
          <w:iCs/>
          <w:sz w:val="20"/>
          <w:szCs w:val="20"/>
        </w:rPr>
        <w:t>041</w:t>
      </w:r>
      <w:r w:rsidR="00384034" w:rsidRPr="00384034">
        <w:rPr>
          <w:rFonts w:asciiTheme="majorHAnsi" w:hAnsiTheme="majorHAnsi"/>
          <w:i/>
          <w:iCs/>
          <w:sz w:val="20"/>
          <w:szCs w:val="20"/>
        </w:rPr>
        <w:t>, consistent with the AUC observed with the MD Anderson Elisa</w:t>
      </w:r>
      <w:r w:rsidR="006D0D1C">
        <w:rPr>
          <w:rFonts w:asciiTheme="majorHAnsi" w:hAnsiTheme="majorHAnsi"/>
          <w:i/>
          <w:iCs/>
          <w:sz w:val="20"/>
          <w:szCs w:val="20"/>
        </w:rPr>
        <w:t>.</w:t>
      </w:r>
    </w:p>
    <w:p w14:paraId="6273DB36" w14:textId="77777777" w:rsidR="00646CE5" w:rsidRDefault="00646CE5" w:rsidP="00137CB5">
      <w:pPr>
        <w:rPr>
          <w:rFonts w:asciiTheme="majorHAnsi" w:hAnsiTheme="majorHAnsi"/>
          <w:i/>
          <w:iCs/>
          <w:sz w:val="20"/>
          <w:szCs w:val="20"/>
        </w:rPr>
      </w:pPr>
    </w:p>
    <w:p w14:paraId="4A6D5FEC" w14:textId="77777777" w:rsidR="00646CE5" w:rsidRDefault="00646CE5" w:rsidP="00137CB5">
      <w:pPr>
        <w:rPr>
          <w:rFonts w:asciiTheme="majorHAnsi" w:hAnsiTheme="majorHAnsi"/>
          <w:i/>
          <w:iCs/>
          <w:sz w:val="20"/>
          <w:szCs w:val="20"/>
        </w:rPr>
      </w:pPr>
    </w:p>
    <w:p w14:paraId="069E771D" w14:textId="6105C18A" w:rsidR="00137CB5" w:rsidRPr="00384034" w:rsidRDefault="00137CB5" w:rsidP="00137CB5">
      <w:pPr>
        <w:rPr>
          <w:rFonts w:asciiTheme="majorHAnsi" w:hAnsiTheme="majorHAnsi" w:cs="Calibri"/>
          <w:b/>
          <w:bCs/>
        </w:rPr>
      </w:pPr>
      <w:r>
        <w:rPr>
          <w:rFonts w:asciiTheme="majorHAnsi" w:hAnsiTheme="majorHAnsi" w:cs="Calibri"/>
          <w:b/>
          <w:bCs/>
        </w:rPr>
        <w:t>Data Analysis Plan</w:t>
      </w:r>
    </w:p>
    <w:p w14:paraId="01593156" w14:textId="5F249A61" w:rsidR="00137CB5" w:rsidRDefault="00137CB5" w:rsidP="00137CB5">
      <w:pPr>
        <w:rPr>
          <w:rFonts w:asciiTheme="majorHAnsi" w:hAnsiTheme="majorHAnsi"/>
          <w:sz w:val="20"/>
          <w:szCs w:val="20"/>
        </w:rPr>
      </w:pPr>
      <w:r>
        <w:rPr>
          <w:rFonts w:asciiTheme="majorHAnsi" w:hAnsiTheme="majorHAnsi"/>
          <w:sz w:val="20"/>
          <w:szCs w:val="20"/>
        </w:rPr>
        <w:t xml:space="preserve">Analysis will include validation of the new </w:t>
      </w:r>
      <w:proofErr w:type="spellStart"/>
      <w:r>
        <w:rPr>
          <w:rFonts w:asciiTheme="majorHAnsi" w:hAnsiTheme="majorHAnsi"/>
          <w:sz w:val="20"/>
          <w:szCs w:val="20"/>
        </w:rPr>
        <w:t>ProSFTPB</w:t>
      </w:r>
      <w:proofErr w:type="spellEnd"/>
      <w:r>
        <w:rPr>
          <w:rFonts w:asciiTheme="majorHAnsi" w:hAnsiTheme="majorHAnsi"/>
          <w:sz w:val="20"/>
          <w:szCs w:val="20"/>
        </w:rPr>
        <w:t xml:space="preserve"> biomarker on the existing lung cancer algorithms discussed in Preliminary Data and Methods (4MP, Mayo Score, Decision Tree by </w:t>
      </w:r>
      <w:r w:rsidRPr="00814E0B">
        <w:rPr>
          <w:rFonts w:asciiTheme="majorHAnsi" w:hAnsiTheme="majorHAnsi"/>
          <w:sz w:val="20"/>
          <w:szCs w:val="20"/>
        </w:rPr>
        <w:t>Jackson, Laurel, et al.)</w:t>
      </w:r>
      <w:r>
        <w:rPr>
          <w:rFonts w:asciiTheme="majorHAnsi" w:hAnsiTheme="majorHAnsi"/>
          <w:sz w:val="20"/>
          <w:szCs w:val="20"/>
        </w:rPr>
        <w:t xml:space="preserve">. </w:t>
      </w:r>
      <w:r w:rsidR="001B61EA">
        <w:rPr>
          <w:rFonts w:asciiTheme="majorHAnsi" w:hAnsiTheme="majorHAnsi"/>
          <w:sz w:val="20"/>
          <w:szCs w:val="20"/>
        </w:rPr>
        <w:t xml:space="preserve">The full requested reference set of </w:t>
      </w:r>
      <w:r w:rsidR="00340C08">
        <w:rPr>
          <w:rFonts w:asciiTheme="majorHAnsi" w:hAnsiTheme="majorHAnsi"/>
          <w:sz w:val="20"/>
          <w:szCs w:val="20"/>
        </w:rPr>
        <w:t>approximately</w:t>
      </w:r>
      <w:r w:rsidR="00346DAB">
        <w:rPr>
          <w:rFonts w:asciiTheme="majorHAnsi" w:hAnsiTheme="majorHAnsi"/>
          <w:sz w:val="20"/>
          <w:szCs w:val="20"/>
        </w:rPr>
        <w:t xml:space="preserve"> </w:t>
      </w:r>
      <w:r w:rsidR="001B61EA">
        <w:rPr>
          <w:rFonts w:asciiTheme="majorHAnsi" w:hAnsiTheme="majorHAnsi"/>
          <w:sz w:val="20"/>
          <w:szCs w:val="20"/>
        </w:rPr>
        <w:t xml:space="preserve">270 cases and 310 controls will be sufficient to evaluate the utility of </w:t>
      </w:r>
      <w:proofErr w:type="spellStart"/>
      <w:r w:rsidR="001B61EA">
        <w:rPr>
          <w:rFonts w:asciiTheme="majorHAnsi" w:hAnsiTheme="majorHAnsi"/>
          <w:sz w:val="20"/>
          <w:szCs w:val="20"/>
        </w:rPr>
        <w:t>ProSFTPB</w:t>
      </w:r>
      <w:proofErr w:type="spellEnd"/>
      <w:r w:rsidR="001B61EA">
        <w:rPr>
          <w:rFonts w:asciiTheme="majorHAnsi" w:hAnsiTheme="majorHAnsi"/>
          <w:sz w:val="20"/>
          <w:szCs w:val="20"/>
        </w:rPr>
        <w:t xml:space="preserve"> in all three algorithms since the samples have balanced numbers of cases and controls, and since the number of cases is comparable to other studies in which the algorithms were developed or validated (</w:t>
      </w:r>
      <w:r w:rsidR="001B61EA" w:rsidRPr="00BD2325">
        <w:rPr>
          <w:rFonts w:asciiTheme="majorHAnsi" w:hAnsiTheme="majorHAnsi"/>
          <w:sz w:val="20"/>
          <w:szCs w:val="20"/>
        </w:rPr>
        <w:t xml:space="preserve">Ehsan </w:t>
      </w:r>
      <w:proofErr w:type="spellStart"/>
      <w:r w:rsidR="001B61EA" w:rsidRPr="00BD2325">
        <w:rPr>
          <w:rFonts w:asciiTheme="majorHAnsi" w:hAnsiTheme="majorHAnsi"/>
          <w:sz w:val="20"/>
          <w:szCs w:val="20"/>
        </w:rPr>
        <w:t>Irajizad</w:t>
      </w:r>
      <w:proofErr w:type="spellEnd"/>
      <w:r w:rsidR="001B61EA" w:rsidRPr="00BD2325">
        <w:rPr>
          <w:rFonts w:asciiTheme="majorHAnsi" w:hAnsiTheme="majorHAnsi"/>
          <w:sz w:val="20"/>
          <w:szCs w:val="20"/>
        </w:rPr>
        <w:t>, et al</w:t>
      </w:r>
      <w:r w:rsidR="001B61EA">
        <w:rPr>
          <w:rFonts w:asciiTheme="majorHAnsi" w:hAnsiTheme="majorHAnsi"/>
          <w:sz w:val="20"/>
          <w:szCs w:val="20"/>
        </w:rPr>
        <w:t xml:space="preserve">; </w:t>
      </w:r>
      <w:r w:rsidR="001B61EA" w:rsidRPr="00814E0B">
        <w:rPr>
          <w:rFonts w:asciiTheme="majorHAnsi" w:hAnsiTheme="majorHAnsi"/>
          <w:sz w:val="20"/>
          <w:szCs w:val="20"/>
        </w:rPr>
        <w:t>Jackson, Laurel, et al.</w:t>
      </w:r>
      <w:r w:rsidR="001B61EA">
        <w:rPr>
          <w:rFonts w:asciiTheme="majorHAnsi" w:hAnsiTheme="majorHAnsi"/>
          <w:sz w:val="20"/>
          <w:szCs w:val="20"/>
        </w:rPr>
        <w:t>).</w:t>
      </w:r>
      <w:r w:rsidR="00A627ED">
        <w:rPr>
          <w:rFonts w:asciiTheme="majorHAnsi" w:hAnsiTheme="majorHAnsi"/>
          <w:sz w:val="20"/>
          <w:szCs w:val="20"/>
        </w:rPr>
        <w:t xml:space="preserve"> Baseline demographic and clinical characteristics of the sample cohort will be analyzed by case/control category and malignancy status for cases. Performance of </w:t>
      </w:r>
      <w:proofErr w:type="spellStart"/>
      <w:r w:rsidR="00A627ED">
        <w:rPr>
          <w:rFonts w:asciiTheme="majorHAnsi" w:hAnsiTheme="majorHAnsi"/>
          <w:sz w:val="20"/>
          <w:szCs w:val="20"/>
        </w:rPr>
        <w:t>ProSFTPB</w:t>
      </w:r>
      <w:proofErr w:type="spellEnd"/>
      <w:r w:rsidR="00A627ED">
        <w:rPr>
          <w:rFonts w:asciiTheme="majorHAnsi" w:hAnsiTheme="majorHAnsi"/>
          <w:sz w:val="20"/>
          <w:szCs w:val="20"/>
        </w:rPr>
        <w:t xml:space="preserve"> will be evaluated through sensitivity and specificity analysis of each algorithm as well as the comparison of ROC curves. Sensitivity will be reported at a fixed specificity of 90%</w:t>
      </w:r>
      <w:r w:rsidR="000C0E69">
        <w:rPr>
          <w:rFonts w:asciiTheme="majorHAnsi" w:hAnsiTheme="majorHAnsi"/>
          <w:sz w:val="20"/>
          <w:szCs w:val="20"/>
        </w:rPr>
        <w:t xml:space="preserve"> </w:t>
      </w:r>
      <w:r w:rsidR="00A627ED">
        <w:rPr>
          <w:rFonts w:asciiTheme="majorHAnsi" w:hAnsiTheme="majorHAnsi"/>
          <w:sz w:val="20"/>
          <w:szCs w:val="20"/>
        </w:rPr>
        <w:t xml:space="preserve">and specificity reported </w:t>
      </w:r>
      <w:r w:rsidR="000C0E69">
        <w:rPr>
          <w:rFonts w:asciiTheme="majorHAnsi" w:hAnsiTheme="majorHAnsi"/>
          <w:sz w:val="20"/>
          <w:szCs w:val="20"/>
        </w:rPr>
        <w:t xml:space="preserve">at fixed sensitivities of 75% and 90%, taken as the mean from 2000 bootstrapped replicates to directly compare results from Jackson, Laurel et al. </w:t>
      </w:r>
      <w:r w:rsidR="00A627ED">
        <w:rPr>
          <w:rFonts w:asciiTheme="majorHAnsi" w:hAnsiTheme="majorHAnsi"/>
          <w:sz w:val="20"/>
          <w:szCs w:val="20"/>
        </w:rPr>
        <w:t xml:space="preserve">Where necessary, continuous variables will be log2-transformed as features in each algorithm. </w:t>
      </w:r>
      <w:r w:rsidR="005D6911">
        <w:rPr>
          <w:rFonts w:asciiTheme="majorHAnsi" w:hAnsiTheme="majorHAnsi"/>
          <w:sz w:val="20"/>
          <w:szCs w:val="20"/>
        </w:rPr>
        <w:t xml:space="preserve">Data analysis will be performed by </w:t>
      </w:r>
      <w:r w:rsidR="002E3BCD">
        <w:rPr>
          <w:rFonts w:asciiTheme="majorHAnsi" w:hAnsiTheme="majorHAnsi"/>
          <w:sz w:val="20"/>
          <w:szCs w:val="20"/>
        </w:rPr>
        <w:t xml:space="preserve">the Clinical Statistics &amp; Health </w:t>
      </w:r>
      <w:r w:rsidR="008D1ACA">
        <w:rPr>
          <w:rFonts w:asciiTheme="majorHAnsi" w:hAnsiTheme="majorHAnsi"/>
          <w:sz w:val="20"/>
          <w:szCs w:val="20"/>
        </w:rPr>
        <w:t>A</w:t>
      </w:r>
      <w:r w:rsidR="002E3BCD">
        <w:rPr>
          <w:rFonts w:asciiTheme="majorHAnsi" w:hAnsiTheme="majorHAnsi"/>
          <w:sz w:val="20"/>
          <w:szCs w:val="20"/>
        </w:rPr>
        <w:t xml:space="preserve">nalytics organization </w:t>
      </w:r>
      <w:r w:rsidR="008D1ACA">
        <w:rPr>
          <w:rFonts w:asciiTheme="majorHAnsi" w:hAnsiTheme="majorHAnsi"/>
          <w:sz w:val="20"/>
          <w:szCs w:val="20"/>
        </w:rPr>
        <w:t>of Abbott Core Diagnostics</w:t>
      </w:r>
      <w:r w:rsidR="005D6911">
        <w:rPr>
          <w:rFonts w:asciiTheme="majorHAnsi" w:hAnsiTheme="majorHAnsi"/>
          <w:sz w:val="20"/>
          <w:szCs w:val="20"/>
        </w:rPr>
        <w:t>.</w:t>
      </w:r>
    </w:p>
    <w:p w14:paraId="71AF6CEC" w14:textId="77777777" w:rsidR="00137CB5" w:rsidRPr="00137CB5" w:rsidRDefault="00137CB5" w:rsidP="00137CB5">
      <w:pPr>
        <w:rPr>
          <w:rFonts w:asciiTheme="majorHAnsi" w:hAnsiTheme="majorHAnsi"/>
          <w:sz w:val="20"/>
          <w:szCs w:val="20"/>
        </w:rPr>
      </w:pPr>
    </w:p>
    <w:p w14:paraId="0E0AEDF5" w14:textId="77777777" w:rsidR="0020721E" w:rsidRDefault="0020721E" w:rsidP="00BD2325">
      <w:pPr>
        <w:rPr>
          <w:rFonts w:asciiTheme="majorHAnsi" w:hAnsiTheme="majorHAnsi"/>
          <w:sz w:val="20"/>
          <w:szCs w:val="20"/>
        </w:rPr>
      </w:pPr>
    </w:p>
    <w:p w14:paraId="33D80542" w14:textId="77777777" w:rsidR="00646CE5" w:rsidRDefault="00646CE5" w:rsidP="00BD2325">
      <w:pPr>
        <w:rPr>
          <w:rFonts w:asciiTheme="majorHAnsi" w:hAnsiTheme="majorHAnsi"/>
          <w:b/>
          <w:bCs/>
          <w:sz w:val="20"/>
          <w:szCs w:val="20"/>
        </w:rPr>
      </w:pPr>
    </w:p>
    <w:p w14:paraId="3ABBDCC6" w14:textId="77777777" w:rsidR="00646CE5" w:rsidRDefault="00646CE5" w:rsidP="00BD2325">
      <w:pPr>
        <w:rPr>
          <w:rFonts w:asciiTheme="majorHAnsi" w:hAnsiTheme="majorHAnsi"/>
          <w:b/>
          <w:bCs/>
          <w:sz w:val="20"/>
          <w:szCs w:val="20"/>
        </w:rPr>
      </w:pPr>
    </w:p>
    <w:p w14:paraId="3D50A65F" w14:textId="014E7A70" w:rsidR="00BD2325" w:rsidRPr="00BD2325" w:rsidRDefault="00BD2325" w:rsidP="00BD2325">
      <w:pPr>
        <w:rPr>
          <w:rFonts w:asciiTheme="majorHAnsi" w:hAnsiTheme="majorHAnsi"/>
          <w:b/>
          <w:bCs/>
          <w:sz w:val="20"/>
          <w:szCs w:val="20"/>
        </w:rPr>
      </w:pPr>
      <w:r w:rsidRPr="00BD2325">
        <w:rPr>
          <w:rFonts w:asciiTheme="majorHAnsi" w:hAnsiTheme="majorHAnsi"/>
          <w:b/>
          <w:bCs/>
          <w:sz w:val="20"/>
          <w:szCs w:val="20"/>
        </w:rPr>
        <w:lastRenderedPageBreak/>
        <w:t xml:space="preserve">References: </w:t>
      </w:r>
    </w:p>
    <w:p w14:paraId="3A4AC8E8" w14:textId="0D9D5F40" w:rsidR="00DD0540" w:rsidRDefault="00DD0540" w:rsidP="00BD2325">
      <w:pPr>
        <w:rPr>
          <w:rFonts w:asciiTheme="majorHAnsi" w:hAnsiTheme="majorHAnsi"/>
          <w:sz w:val="20"/>
          <w:szCs w:val="20"/>
        </w:rPr>
      </w:pPr>
      <w:r w:rsidRPr="00DD0540">
        <w:rPr>
          <w:rFonts w:asciiTheme="majorHAnsi" w:hAnsiTheme="majorHAnsi"/>
          <w:sz w:val="20"/>
          <w:szCs w:val="20"/>
        </w:rPr>
        <w:t xml:space="preserve">Siegel, R., </w:t>
      </w:r>
      <w:proofErr w:type="spellStart"/>
      <w:r w:rsidRPr="00DD0540">
        <w:rPr>
          <w:rFonts w:asciiTheme="majorHAnsi" w:hAnsiTheme="majorHAnsi"/>
          <w:sz w:val="20"/>
          <w:szCs w:val="20"/>
        </w:rPr>
        <w:t>Naishadham</w:t>
      </w:r>
      <w:proofErr w:type="spellEnd"/>
      <w:r w:rsidRPr="00DD0540">
        <w:rPr>
          <w:rFonts w:asciiTheme="majorHAnsi" w:hAnsiTheme="majorHAnsi"/>
          <w:sz w:val="20"/>
          <w:szCs w:val="20"/>
        </w:rPr>
        <w:t xml:space="preserve">, D., &amp; Jemal, A. (2012). Cancer statistics, 2012. CA: A Cancer Journal for Clinicians, 62(1), 10–29. </w:t>
      </w:r>
      <w:hyperlink r:id="rId10" w:history="1">
        <w:r w:rsidRPr="00171C37">
          <w:rPr>
            <w:rStyle w:val="Hyperlink"/>
            <w:rFonts w:asciiTheme="majorHAnsi" w:hAnsiTheme="majorHAnsi"/>
            <w:sz w:val="20"/>
            <w:szCs w:val="20"/>
          </w:rPr>
          <w:t>https://doi.org/10.3322/caac.20138</w:t>
        </w:r>
      </w:hyperlink>
    </w:p>
    <w:p w14:paraId="51AB5D7F" w14:textId="7D64F839" w:rsidR="00DD0540" w:rsidRDefault="00DD0540" w:rsidP="00BD2325">
      <w:pPr>
        <w:rPr>
          <w:rFonts w:asciiTheme="majorHAnsi" w:hAnsiTheme="majorHAnsi"/>
          <w:sz w:val="20"/>
          <w:szCs w:val="20"/>
        </w:rPr>
      </w:pPr>
      <w:r w:rsidRPr="00DD0540">
        <w:rPr>
          <w:rFonts w:asciiTheme="majorHAnsi" w:hAnsiTheme="majorHAnsi"/>
          <w:sz w:val="20"/>
          <w:szCs w:val="20"/>
        </w:rPr>
        <w:t xml:space="preserve">Li, X. J., Hayward, C., Fong, P. Y., Dominguez, M., Hunsucker, S. W., Lee, L. W., McLean, M., Law, S., Butler, H., Schirm, M., Gingras, O., Lamontagne, J., Allard, R., Chelsky, D., Price, N. D., Lam, S., </w:t>
      </w:r>
      <w:proofErr w:type="spellStart"/>
      <w:r w:rsidRPr="00DD0540">
        <w:rPr>
          <w:rFonts w:asciiTheme="majorHAnsi" w:hAnsiTheme="majorHAnsi"/>
          <w:sz w:val="20"/>
          <w:szCs w:val="20"/>
        </w:rPr>
        <w:t>Massion</w:t>
      </w:r>
      <w:proofErr w:type="spellEnd"/>
      <w:r w:rsidRPr="00DD0540">
        <w:rPr>
          <w:rFonts w:asciiTheme="majorHAnsi" w:hAnsiTheme="majorHAnsi"/>
          <w:sz w:val="20"/>
          <w:szCs w:val="20"/>
        </w:rPr>
        <w:t xml:space="preserve">, P. P., Pass, H., Rom, W. N., … Kearney, P. (2013). A blood-based proteomic classifier for the molecular characterization of pulmonary nodules. Science Translational Medicine, 5(207). </w:t>
      </w:r>
      <w:hyperlink r:id="rId11" w:history="1">
        <w:r w:rsidRPr="00171C37">
          <w:rPr>
            <w:rStyle w:val="Hyperlink"/>
            <w:rFonts w:asciiTheme="majorHAnsi" w:hAnsiTheme="majorHAnsi"/>
            <w:sz w:val="20"/>
            <w:szCs w:val="20"/>
          </w:rPr>
          <w:t>https://doi.org/10.1126/scitranslmed.3007013</w:t>
        </w:r>
      </w:hyperlink>
    </w:p>
    <w:p w14:paraId="4AC8957D" w14:textId="6C546B6F" w:rsidR="00DD0540" w:rsidRDefault="001D73B3" w:rsidP="00BD2325">
      <w:pPr>
        <w:rPr>
          <w:rFonts w:asciiTheme="majorHAnsi" w:hAnsiTheme="majorHAnsi"/>
          <w:sz w:val="20"/>
          <w:szCs w:val="20"/>
        </w:rPr>
      </w:pPr>
      <w:r w:rsidRPr="001D73B3">
        <w:rPr>
          <w:rFonts w:asciiTheme="majorHAnsi" w:hAnsiTheme="majorHAnsi"/>
          <w:sz w:val="20"/>
          <w:szCs w:val="20"/>
        </w:rPr>
        <w:t xml:space="preserve">Fahrmann, J. F., Marsh, T., </w:t>
      </w:r>
      <w:proofErr w:type="spellStart"/>
      <w:r w:rsidRPr="001D73B3">
        <w:rPr>
          <w:rFonts w:asciiTheme="majorHAnsi" w:hAnsiTheme="majorHAnsi"/>
          <w:sz w:val="20"/>
          <w:szCs w:val="20"/>
        </w:rPr>
        <w:t>Irajizad</w:t>
      </w:r>
      <w:proofErr w:type="spellEnd"/>
      <w:r w:rsidRPr="001D73B3">
        <w:rPr>
          <w:rFonts w:asciiTheme="majorHAnsi" w:hAnsiTheme="majorHAnsi"/>
          <w:sz w:val="20"/>
          <w:szCs w:val="20"/>
        </w:rPr>
        <w:t xml:space="preserve">, E., Patel, N., Murage, E., </w:t>
      </w:r>
      <w:proofErr w:type="spellStart"/>
      <w:r w:rsidRPr="001D73B3">
        <w:rPr>
          <w:rFonts w:asciiTheme="majorHAnsi" w:hAnsiTheme="majorHAnsi"/>
          <w:sz w:val="20"/>
          <w:szCs w:val="20"/>
        </w:rPr>
        <w:t>Vykoukal</w:t>
      </w:r>
      <w:proofErr w:type="spellEnd"/>
      <w:r w:rsidRPr="001D73B3">
        <w:rPr>
          <w:rFonts w:asciiTheme="majorHAnsi" w:hAnsiTheme="majorHAnsi"/>
          <w:sz w:val="20"/>
          <w:szCs w:val="20"/>
        </w:rPr>
        <w:t xml:space="preserve">, J., Dennison, J. B., Do, K.-A., Ostrin, ; Edwin, Spitz, M. R., Lam, S., Shete, S., Meza, R., Martin, ;, Tammemägi, C., Tammemägi, T., Feng, Z., &amp; Hanash, S. M. (2022). Blood-Based Biomarker Panel for Personalized Lung Cancer Risk Assessment. J Clin Oncol, 0. </w:t>
      </w:r>
      <w:hyperlink r:id="rId12" w:history="1">
        <w:r w:rsidRPr="00171C37">
          <w:rPr>
            <w:rStyle w:val="Hyperlink"/>
            <w:rFonts w:asciiTheme="majorHAnsi" w:hAnsiTheme="majorHAnsi"/>
            <w:sz w:val="20"/>
            <w:szCs w:val="20"/>
          </w:rPr>
          <w:t>https://doi.org/10.1200/JCO.21</w:t>
        </w:r>
      </w:hyperlink>
    </w:p>
    <w:p w14:paraId="3417B8A7" w14:textId="7FAC0528" w:rsidR="001D73B3" w:rsidRDefault="001D73B3" w:rsidP="00BD2325">
      <w:pPr>
        <w:rPr>
          <w:rFonts w:asciiTheme="majorHAnsi" w:hAnsiTheme="majorHAnsi"/>
          <w:sz w:val="20"/>
          <w:szCs w:val="20"/>
        </w:rPr>
      </w:pPr>
      <w:r w:rsidRPr="001D73B3">
        <w:rPr>
          <w:rFonts w:asciiTheme="majorHAnsi" w:hAnsiTheme="majorHAnsi"/>
          <w:sz w:val="20"/>
          <w:szCs w:val="20"/>
        </w:rPr>
        <w:t xml:space="preserve">Luo, H., Li, Q., Wang, R. T., Zhang, L., Zhang, W., Deng, M. S., Luo, Y. Y., Ji, X., Wen, Y., Zhou, X. R., Xu, B., Wang, D., Hu, B., Jin, H., &amp; Xu, C. X. (2023). Downregulation of pro-surfactant protein B contributes to the recurrence of early-stage non-small cell lung cancer by activating PGK1-mediated Akt signaling. Experimental Hematology and Oncology, 12(1). </w:t>
      </w:r>
      <w:hyperlink r:id="rId13" w:history="1">
        <w:r w:rsidRPr="00171C37">
          <w:rPr>
            <w:rStyle w:val="Hyperlink"/>
            <w:rFonts w:asciiTheme="majorHAnsi" w:hAnsiTheme="majorHAnsi"/>
            <w:sz w:val="20"/>
            <w:szCs w:val="20"/>
          </w:rPr>
          <w:t>https://doi.org/10.1186/s40164-023-00455-6</w:t>
        </w:r>
      </w:hyperlink>
    </w:p>
    <w:p w14:paraId="70B078A1" w14:textId="08310D22" w:rsidR="001D73B3" w:rsidRDefault="001D73B3" w:rsidP="00BD2325">
      <w:pPr>
        <w:rPr>
          <w:rFonts w:asciiTheme="majorHAnsi" w:hAnsiTheme="majorHAnsi"/>
          <w:sz w:val="20"/>
          <w:szCs w:val="20"/>
        </w:rPr>
      </w:pPr>
      <w:r w:rsidRPr="001D73B3">
        <w:rPr>
          <w:rFonts w:asciiTheme="majorHAnsi" w:hAnsiTheme="majorHAnsi"/>
          <w:sz w:val="20"/>
          <w:szCs w:val="20"/>
        </w:rPr>
        <w:t xml:space="preserve">Ostrin, E. J., </w:t>
      </w:r>
      <w:proofErr w:type="spellStart"/>
      <w:r w:rsidRPr="001D73B3">
        <w:rPr>
          <w:rFonts w:asciiTheme="majorHAnsi" w:hAnsiTheme="majorHAnsi"/>
          <w:sz w:val="20"/>
          <w:szCs w:val="20"/>
        </w:rPr>
        <w:t>Bantis</w:t>
      </w:r>
      <w:proofErr w:type="spellEnd"/>
      <w:r w:rsidRPr="001D73B3">
        <w:rPr>
          <w:rFonts w:asciiTheme="majorHAnsi" w:hAnsiTheme="majorHAnsi"/>
          <w:sz w:val="20"/>
          <w:szCs w:val="20"/>
        </w:rPr>
        <w:t xml:space="preserve">, L. E., Wilson, D. O., Patel, N., Wang, R., </w:t>
      </w:r>
      <w:proofErr w:type="spellStart"/>
      <w:r w:rsidRPr="001D73B3">
        <w:rPr>
          <w:rFonts w:asciiTheme="majorHAnsi" w:hAnsiTheme="majorHAnsi"/>
          <w:sz w:val="20"/>
          <w:szCs w:val="20"/>
        </w:rPr>
        <w:t>Kundnani</w:t>
      </w:r>
      <w:proofErr w:type="spellEnd"/>
      <w:r w:rsidRPr="001D73B3">
        <w:rPr>
          <w:rFonts w:asciiTheme="majorHAnsi" w:hAnsiTheme="majorHAnsi"/>
          <w:sz w:val="20"/>
          <w:szCs w:val="20"/>
        </w:rPr>
        <w:t xml:space="preserve">, D., Adams-Haduch, J., Dennison, J. B., Fahrmann, J. F., Chiu, H. T., </w:t>
      </w:r>
      <w:proofErr w:type="spellStart"/>
      <w:r w:rsidRPr="001D73B3">
        <w:rPr>
          <w:rFonts w:asciiTheme="majorHAnsi" w:hAnsiTheme="majorHAnsi"/>
          <w:sz w:val="20"/>
          <w:szCs w:val="20"/>
        </w:rPr>
        <w:t>Gazdar</w:t>
      </w:r>
      <w:proofErr w:type="spellEnd"/>
      <w:r w:rsidRPr="001D73B3">
        <w:rPr>
          <w:rFonts w:asciiTheme="majorHAnsi" w:hAnsiTheme="majorHAnsi"/>
          <w:sz w:val="20"/>
          <w:szCs w:val="20"/>
        </w:rPr>
        <w:t xml:space="preserve">, A., Feng, Z., Yuan, J. M., &amp; Hanash, S. M. (2021). Contribution of a Blood-Based Protein Biomarker Panel to the Classification of Indeterminate Pulmonary Nodules. Journal of Thoracic Oncology, 16(2), 228–236. </w:t>
      </w:r>
      <w:hyperlink r:id="rId14" w:history="1">
        <w:r w:rsidRPr="00171C37">
          <w:rPr>
            <w:rStyle w:val="Hyperlink"/>
            <w:rFonts w:asciiTheme="majorHAnsi" w:hAnsiTheme="majorHAnsi"/>
            <w:sz w:val="20"/>
            <w:szCs w:val="20"/>
          </w:rPr>
          <w:t>https://doi.org/10.1016/j.jtho.2020.09.024</w:t>
        </w:r>
      </w:hyperlink>
    </w:p>
    <w:p w14:paraId="3A039B2D" w14:textId="6FB30474" w:rsidR="001D73B3" w:rsidRDefault="001D73B3" w:rsidP="00BD2325">
      <w:pPr>
        <w:rPr>
          <w:rFonts w:asciiTheme="majorHAnsi" w:hAnsiTheme="majorHAnsi"/>
          <w:sz w:val="20"/>
          <w:szCs w:val="20"/>
        </w:rPr>
      </w:pPr>
      <w:r w:rsidRPr="001D73B3">
        <w:rPr>
          <w:rFonts w:asciiTheme="majorHAnsi" w:hAnsiTheme="majorHAnsi"/>
          <w:sz w:val="20"/>
          <w:szCs w:val="20"/>
        </w:rPr>
        <w:t xml:space="preserve">Taguchi, A., Hanash, S., Rundle, A., McKeague, I. W., Tang, D., Darakjy, S., Gaziano, J. M., Sesso, H. D., &amp; Perera, F. (2013). Circulating pro-surfactant protein b as a risk biomarker for lung cancer. Cancer Epidemiology Biomarkers and Prevention, 22(10), 1756–1761. </w:t>
      </w:r>
      <w:hyperlink r:id="rId15" w:history="1">
        <w:r w:rsidRPr="00171C37">
          <w:rPr>
            <w:rStyle w:val="Hyperlink"/>
            <w:rFonts w:asciiTheme="majorHAnsi" w:hAnsiTheme="majorHAnsi"/>
            <w:sz w:val="20"/>
            <w:szCs w:val="20"/>
          </w:rPr>
          <w:t>https://doi.org/10.1158/1055-9965.EPI-13-0251</w:t>
        </w:r>
      </w:hyperlink>
    </w:p>
    <w:p w14:paraId="61212D80" w14:textId="3B1E183D" w:rsidR="001D73B3" w:rsidRDefault="001D73B3" w:rsidP="00BD2325">
      <w:pPr>
        <w:rPr>
          <w:rFonts w:asciiTheme="majorHAnsi" w:hAnsiTheme="majorHAnsi"/>
          <w:sz w:val="20"/>
          <w:szCs w:val="20"/>
        </w:rPr>
      </w:pPr>
      <w:proofErr w:type="spellStart"/>
      <w:r w:rsidRPr="001D73B3">
        <w:rPr>
          <w:rFonts w:asciiTheme="majorHAnsi" w:hAnsiTheme="majorHAnsi"/>
          <w:sz w:val="20"/>
          <w:szCs w:val="20"/>
        </w:rPr>
        <w:t>Trinkmann</w:t>
      </w:r>
      <w:proofErr w:type="spellEnd"/>
      <w:r w:rsidRPr="001D73B3">
        <w:rPr>
          <w:rFonts w:asciiTheme="majorHAnsi" w:hAnsiTheme="majorHAnsi"/>
          <w:sz w:val="20"/>
          <w:szCs w:val="20"/>
        </w:rPr>
        <w:t xml:space="preserve">, F., Detzel, J., &amp; Hutter, D. (2014). Measurement of serum </w:t>
      </w:r>
      <w:proofErr w:type="spellStart"/>
      <w:r w:rsidRPr="001D73B3">
        <w:rPr>
          <w:rFonts w:asciiTheme="majorHAnsi" w:hAnsiTheme="majorHAnsi"/>
          <w:sz w:val="20"/>
          <w:szCs w:val="20"/>
        </w:rPr>
        <w:t>proSurfactant</w:t>
      </w:r>
      <w:proofErr w:type="spellEnd"/>
      <w:r w:rsidRPr="001D73B3">
        <w:rPr>
          <w:rFonts w:asciiTheme="majorHAnsi" w:hAnsiTheme="majorHAnsi"/>
          <w:sz w:val="20"/>
          <w:szCs w:val="20"/>
        </w:rPr>
        <w:t xml:space="preserve"> protein-B levels Abstract </w:t>
      </w:r>
      <w:proofErr w:type="spellStart"/>
      <w:r w:rsidRPr="001D73B3">
        <w:rPr>
          <w:rFonts w:asciiTheme="majorHAnsi" w:hAnsiTheme="majorHAnsi"/>
          <w:sz w:val="20"/>
          <w:szCs w:val="20"/>
        </w:rPr>
        <w:t>Eur</w:t>
      </w:r>
      <w:proofErr w:type="spellEnd"/>
      <w:r w:rsidRPr="001D73B3">
        <w:rPr>
          <w:rFonts w:asciiTheme="majorHAnsi" w:hAnsiTheme="majorHAnsi"/>
          <w:sz w:val="20"/>
          <w:szCs w:val="20"/>
        </w:rPr>
        <w:t xml:space="preserve"> Respiratory Annual Congress 2013. European Respiratory Journal, 42(Suppl 57). </w:t>
      </w:r>
      <w:hyperlink r:id="rId16" w:history="1">
        <w:r w:rsidRPr="00171C37">
          <w:rPr>
            <w:rStyle w:val="Hyperlink"/>
            <w:rFonts w:asciiTheme="majorHAnsi" w:hAnsiTheme="majorHAnsi"/>
            <w:sz w:val="20"/>
            <w:szCs w:val="20"/>
          </w:rPr>
          <w:t>https://doi.org/10.1183/13993003/erj.42.Suppl_57.P410</w:t>
        </w:r>
      </w:hyperlink>
    </w:p>
    <w:p w14:paraId="014B9225" w14:textId="6988A5BA" w:rsidR="00BD2325" w:rsidRDefault="00BD2325" w:rsidP="00BD2325">
      <w:pPr>
        <w:rPr>
          <w:rFonts w:asciiTheme="majorHAnsi" w:hAnsiTheme="majorHAnsi"/>
          <w:sz w:val="20"/>
          <w:szCs w:val="20"/>
        </w:rPr>
      </w:pPr>
      <w:r w:rsidRPr="00BD2325">
        <w:rPr>
          <w:rFonts w:asciiTheme="majorHAnsi" w:hAnsiTheme="majorHAnsi"/>
          <w:sz w:val="20"/>
          <w:szCs w:val="20"/>
        </w:rPr>
        <w:t>Sin, Don D, et al. “Pro–Surfactant Protein B as a Biomarker for Lung Cancer Prediction.” </w:t>
      </w:r>
      <w:r w:rsidRPr="00BD2325">
        <w:rPr>
          <w:rFonts w:asciiTheme="majorHAnsi" w:hAnsiTheme="majorHAnsi"/>
          <w:i/>
          <w:iCs/>
          <w:sz w:val="20"/>
          <w:szCs w:val="20"/>
        </w:rPr>
        <w:t>National Library of Medicine</w:t>
      </w:r>
      <w:r w:rsidRPr="00BD2325">
        <w:rPr>
          <w:rFonts w:asciiTheme="majorHAnsi" w:hAnsiTheme="majorHAnsi"/>
          <w:sz w:val="20"/>
          <w:szCs w:val="20"/>
        </w:rPr>
        <w:t xml:space="preserve">, vol. 31, no. 36, 20 Dec. 2013, pp. 4536–4543, </w:t>
      </w:r>
      <w:hyperlink r:id="rId17" w:history="1">
        <w:r w:rsidRPr="00EB6F2E">
          <w:rPr>
            <w:rStyle w:val="Hyperlink"/>
            <w:rFonts w:asciiTheme="majorHAnsi" w:hAnsiTheme="majorHAnsi"/>
            <w:sz w:val="20"/>
            <w:szCs w:val="20"/>
          </w:rPr>
          <w:t>https://doi.org/10.1200/jco.2013.50.6105. Accessed 21 June 2023</w:t>
        </w:r>
      </w:hyperlink>
      <w:r w:rsidRPr="00BD2325">
        <w:rPr>
          <w:rFonts w:asciiTheme="majorHAnsi" w:hAnsiTheme="majorHAnsi"/>
          <w:sz w:val="20"/>
          <w:szCs w:val="20"/>
        </w:rPr>
        <w:t>.</w:t>
      </w:r>
    </w:p>
    <w:p w14:paraId="6C65F603" w14:textId="77777777" w:rsidR="00BD2325" w:rsidRDefault="00BD2325" w:rsidP="00BD2325">
      <w:pPr>
        <w:rPr>
          <w:rFonts w:asciiTheme="majorHAnsi" w:hAnsiTheme="majorHAnsi"/>
          <w:sz w:val="20"/>
          <w:szCs w:val="20"/>
        </w:rPr>
      </w:pPr>
      <w:r w:rsidRPr="00BD2325">
        <w:rPr>
          <w:rFonts w:asciiTheme="majorHAnsi" w:hAnsiTheme="majorHAnsi"/>
          <w:sz w:val="20"/>
          <w:szCs w:val="20"/>
        </w:rPr>
        <w:t xml:space="preserve">Ehsan </w:t>
      </w:r>
      <w:proofErr w:type="spellStart"/>
      <w:r w:rsidRPr="00BD2325">
        <w:rPr>
          <w:rFonts w:asciiTheme="majorHAnsi" w:hAnsiTheme="majorHAnsi"/>
          <w:sz w:val="20"/>
          <w:szCs w:val="20"/>
        </w:rPr>
        <w:t>Irajizad</w:t>
      </w:r>
      <w:proofErr w:type="spellEnd"/>
      <w:r w:rsidRPr="00BD2325">
        <w:rPr>
          <w:rFonts w:asciiTheme="majorHAnsi" w:hAnsiTheme="majorHAnsi"/>
          <w:sz w:val="20"/>
          <w:szCs w:val="20"/>
        </w:rPr>
        <w:t xml:space="preserve">, et al. “Biomarker Trajectory for Earlier Detection of Lung Cancer.” </w:t>
      </w:r>
      <w:proofErr w:type="spellStart"/>
      <w:r w:rsidRPr="00BD2325">
        <w:rPr>
          <w:rFonts w:asciiTheme="majorHAnsi" w:hAnsiTheme="majorHAnsi"/>
          <w:i/>
          <w:iCs/>
          <w:sz w:val="20"/>
          <w:szCs w:val="20"/>
        </w:rPr>
        <w:t>EBioMedicine</w:t>
      </w:r>
      <w:proofErr w:type="spellEnd"/>
      <w:r w:rsidRPr="00BD2325">
        <w:rPr>
          <w:rFonts w:asciiTheme="majorHAnsi" w:hAnsiTheme="majorHAnsi"/>
          <w:sz w:val="20"/>
          <w:szCs w:val="20"/>
        </w:rPr>
        <w:t>, vol. 108, 30 Sept. 2024, pp. 105377–105377, https://doi.org/10.1016/j.ebiom.2024.105377. Accessed 15 Apr. 2025.</w:t>
      </w:r>
    </w:p>
    <w:p w14:paraId="76075795" w14:textId="646BC65D" w:rsidR="00E400D0" w:rsidRPr="00BD2325" w:rsidRDefault="00E400D0" w:rsidP="00BD2325">
      <w:pPr>
        <w:rPr>
          <w:rFonts w:asciiTheme="majorHAnsi" w:hAnsiTheme="majorHAnsi"/>
          <w:sz w:val="20"/>
          <w:szCs w:val="20"/>
        </w:rPr>
      </w:pPr>
      <w:r w:rsidRPr="00E400D0">
        <w:rPr>
          <w:rFonts w:asciiTheme="majorHAnsi" w:hAnsiTheme="majorHAnsi"/>
          <w:sz w:val="20"/>
          <w:szCs w:val="20"/>
        </w:rPr>
        <w:t>Jackson, Laurel, et al. “Exploratory Algorithms to Aid in Risk of Malignancy Prediction for Indeterminate Pulmonary Nodules.” Cancers, vol. 17, no. 7, 5 Apr. 2025, pp. 1231–1231, www.mdpi.com/2072-6694/17/7/1231, https://doi.org/10.3390/cancers17071231. Accessed 18 May 2025.</w:t>
      </w:r>
    </w:p>
    <w:p w14:paraId="1ADBAAA5" w14:textId="77777777" w:rsidR="00BD2325" w:rsidRPr="00BD2325" w:rsidRDefault="00BD2325" w:rsidP="00BD2325">
      <w:pPr>
        <w:rPr>
          <w:rFonts w:asciiTheme="majorHAnsi" w:hAnsiTheme="majorHAnsi"/>
          <w:sz w:val="20"/>
          <w:szCs w:val="20"/>
        </w:rPr>
      </w:pPr>
    </w:p>
    <w:sectPr w:rsidR="00BD2325" w:rsidRPr="00BD232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5D6AC" w14:textId="77777777" w:rsidR="00D21F7C" w:rsidRDefault="00D21F7C" w:rsidP="00C70B75">
      <w:pPr>
        <w:spacing w:after="0" w:line="240" w:lineRule="auto"/>
      </w:pPr>
      <w:r>
        <w:separator/>
      </w:r>
    </w:p>
  </w:endnote>
  <w:endnote w:type="continuationSeparator" w:id="0">
    <w:p w14:paraId="6B5B5A8F" w14:textId="77777777" w:rsidR="00D21F7C" w:rsidRDefault="00D21F7C" w:rsidP="00C70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3660"/>
      <w:docPartObj>
        <w:docPartGallery w:val="Page Numbers (Bottom of Page)"/>
        <w:docPartUnique/>
      </w:docPartObj>
    </w:sdtPr>
    <w:sdtEndPr>
      <w:rPr>
        <w:noProof/>
      </w:rPr>
    </w:sdtEndPr>
    <w:sdtContent>
      <w:p w14:paraId="38258AE5" w14:textId="77777777" w:rsidR="00C70B75" w:rsidRDefault="00C70B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D2C55E" w14:textId="77777777" w:rsidR="00C70B75" w:rsidRDefault="00C70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F2FE" w14:textId="77777777" w:rsidR="00D21F7C" w:rsidRDefault="00D21F7C" w:rsidP="00C70B75">
      <w:pPr>
        <w:spacing w:after="0" w:line="240" w:lineRule="auto"/>
      </w:pPr>
      <w:r>
        <w:separator/>
      </w:r>
    </w:p>
  </w:footnote>
  <w:footnote w:type="continuationSeparator" w:id="0">
    <w:p w14:paraId="2D0F0A34" w14:textId="77777777" w:rsidR="00D21F7C" w:rsidRDefault="00D21F7C" w:rsidP="00C70B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8E7C30"/>
    <w:multiLevelType w:val="multilevel"/>
    <w:tmpl w:val="0A629D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6623785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325"/>
    <w:rsid w:val="0000780E"/>
    <w:rsid w:val="00054050"/>
    <w:rsid w:val="00071C98"/>
    <w:rsid w:val="000C0E69"/>
    <w:rsid w:val="000C3DD4"/>
    <w:rsid w:val="000D5AC5"/>
    <w:rsid w:val="001302A1"/>
    <w:rsid w:val="00137CB5"/>
    <w:rsid w:val="001740C0"/>
    <w:rsid w:val="001A15A7"/>
    <w:rsid w:val="001B61EA"/>
    <w:rsid w:val="001D73B3"/>
    <w:rsid w:val="0020721E"/>
    <w:rsid w:val="00221F60"/>
    <w:rsid w:val="00264E4A"/>
    <w:rsid w:val="002C1E1B"/>
    <w:rsid w:val="002D1146"/>
    <w:rsid w:val="002D3CFD"/>
    <w:rsid w:val="002E3BCD"/>
    <w:rsid w:val="003139CE"/>
    <w:rsid w:val="00314495"/>
    <w:rsid w:val="003315E3"/>
    <w:rsid w:val="00331B53"/>
    <w:rsid w:val="00340C08"/>
    <w:rsid w:val="00346DAB"/>
    <w:rsid w:val="0035033C"/>
    <w:rsid w:val="00362986"/>
    <w:rsid w:val="00384034"/>
    <w:rsid w:val="003E4C72"/>
    <w:rsid w:val="00483F3E"/>
    <w:rsid w:val="004C75A3"/>
    <w:rsid w:val="004D0170"/>
    <w:rsid w:val="00532EAE"/>
    <w:rsid w:val="00586235"/>
    <w:rsid w:val="005D6911"/>
    <w:rsid w:val="00607CFB"/>
    <w:rsid w:val="006126B0"/>
    <w:rsid w:val="006177DD"/>
    <w:rsid w:val="0063022A"/>
    <w:rsid w:val="00634BC6"/>
    <w:rsid w:val="00634F4D"/>
    <w:rsid w:val="00646CE5"/>
    <w:rsid w:val="006731B2"/>
    <w:rsid w:val="00677836"/>
    <w:rsid w:val="006D0D1C"/>
    <w:rsid w:val="00700C55"/>
    <w:rsid w:val="00727945"/>
    <w:rsid w:val="00750DED"/>
    <w:rsid w:val="007E66E1"/>
    <w:rsid w:val="00814E0B"/>
    <w:rsid w:val="008353C1"/>
    <w:rsid w:val="008855AA"/>
    <w:rsid w:val="008D1ACA"/>
    <w:rsid w:val="00903202"/>
    <w:rsid w:val="00903C2B"/>
    <w:rsid w:val="00905CB5"/>
    <w:rsid w:val="00952F7F"/>
    <w:rsid w:val="00980FDF"/>
    <w:rsid w:val="009E0924"/>
    <w:rsid w:val="00A249D3"/>
    <w:rsid w:val="00A57197"/>
    <w:rsid w:val="00A617A5"/>
    <w:rsid w:val="00A627ED"/>
    <w:rsid w:val="00AB5231"/>
    <w:rsid w:val="00B123B6"/>
    <w:rsid w:val="00B310CE"/>
    <w:rsid w:val="00B826A0"/>
    <w:rsid w:val="00B92917"/>
    <w:rsid w:val="00BD2325"/>
    <w:rsid w:val="00C06020"/>
    <w:rsid w:val="00C70B75"/>
    <w:rsid w:val="00C725CB"/>
    <w:rsid w:val="00C74DDF"/>
    <w:rsid w:val="00C813DA"/>
    <w:rsid w:val="00C853F2"/>
    <w:rsid w:val="00CC1454"/>
    <w:rsid w:val="00CC6C59"/>
    <w:rsid w:val="00CD358E"/>
    <w:rsid w:val="00D21F7C"/>
    <w:rsid w:val="00D51BA5"/>
    <w:rsid w:val="00D52280"/>
    <w:rsid w:val="00D8349E"/>
    <w:rsid w:val="00DB784D"/>
    <w:rsid w:val="00DD0540"/>
    <w:rsid w:val="00DD2E90"/>
    <w:rsid w:val="00DF62AA"/>
    <w:rsid w:val="00E168A6"/>
    <w:rsid w:val="00E400D0"/>
    <w:rsid w:val="00E478DA"/>
    <w:rsid w:val="00E615C6"/>
    <w:rsid w:val="00E654A7"/>
    <w:rsid w:val="00E76E9F"/>
    <w:rsid w:val="00EA54EA"/>
    <w:rsid w:val="00EB040A"/>
    <w:rsid w:val="00EC60F0"/>
    <w:rsid w:val="00ED1A07"/>
    <w:rsid w:val="00ED6F15"/>
    <w:rsid w:val="00EF38F8"/>
    <w:rsid w:val="00F176E7"/>
    <w:rsid w:val="00F47834"/>
    <w:rsid w:val="00FC0274"/>
    <w:rsid w:val="00FE4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159A3"/>
  <w15:chartTrackingRefBased/>
  <w15:docId w15:val="{B0C2745E-F7D5-4574-8BDD-D4E569E84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325"/>
  </w:style>
  <w:style w:type="paragraph" w:styleId="Heading1">
    <w:name w:val="heading 1"/>
    <w:basedOn w:val="Normal"/>
    <w:next w:val="Normal"/>
    <w:link w:val="Heading1Char"/>
    <w:uiPriority w:val="9"/>
    <w:qFormat/>
    <w:rsid w:val="00BD2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325"/>
    <w:rPr>
      <w:rFonts w:eastAsiaTheme="majorEastAsia" w:cstheme="majorBidi"/>
      <w:color w:val="272727" w:themeColor="text1" w:themeTint="D8"/>
    </w:rPr>
  </w:style>
  <w:style w:type="paragraph" w:styleId="Title">
    <w:name w:val="Title"/>
    <w:basedOn w:val="Normal"/>
    <w:next w:val="Normal"/>
    <w:link w:val="TitleChar"/>
    <w:uiPriority w:val="10"/>
    <w:qFormat/>
    <w:rsid w:val="00BD2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325"/>
    <w:pPr>
      <w:spacing w:before="160"/>
      <w:jc w:val="center"/>
    </w:pPr>
    <w:rPr>
      <w:i/>
      <w:iCs/>
      <w:color w:val="404040" w:themeColor="text1" w:themeTint="BF"/>
    </w:rPr>
  </w:style>
  <w:style w:type="character" w:customStyle="1" w:styleId="QuoteChar">
    <w:name w:val="Quote Char"/>
    <w:basedOn w:val="DefaultParagraphFont"/>
    <w:link w:val="Quote"/>
    <w:uiPriority w:val="29"/>
    <w:rsid w:val="00BD2325"/>
    <w:rPr>
      <w:i/>
      <w:iCs/>
      <w:color w:val="404040" w:themeColor="text1" w:themeTint="BF"/>
    </w:rPr>
  </w:style>
  <w:style w:type="paragraph" w:styleId="ListParagraph">
    <w:name w:val="List Paragraph"/>
    <w:basedOn w:val="Normal"/>
    <w:uiPriority w:val="34"/>
    <w:qFormat/>
    <w:rsid w:val="00BD2325"/>
    <w:pPr>
      <w:ind w:left="720"/>
      <w:contextualSpacing/>
    </w:pPr>
  </w:style>
  <w:style w:type="character" w:styleId="IntenseEmphasis">
    <w:name w:val="Intense Emphasis"/>
    <w:basedOn w:val="DefaultParagraphFont"/>
    <w:uiPriority w:val="21"/>
    <w:qFormat/>
    <w:rsid w:val="00BD2325"/>
    <w:rPr>
      <w:i/>
      <w:iCs/>
      <w:color w:val="0F4761" w:themeColor="accent1" w:themeShade="BF"/>
    </w:rPr>
  </w:style>
  <w:style w:type="paragraph" w:styleId="IntenseQuote">
    <w:name w:val="Intense Quote"/>
    <w:basedOn w:val="Normal"/>
    <w:next w:val="Normal"/>
    <w:link w:val="IntenseQuoteChar"/>
    <w:uiPriority w:val="30"/>
    <w:qFormat/>
    <w:rsid w:val="00BD2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325"/>
    <w:rPr>
      <w:i/>
      <w:iCs/>
      <w:color w:val="0F4761" w:themeColor="accent1" w:themeShade="BF"/>
    </w:rPr>
  </w:style>
  <w:style w:type="character" w:styleId="IntenseReference">
    <w:name w:val="Intense Reference"/>
    <w:basedOn w:val="DefaultParagraphFont"/>
    <w:uiPriority w:val="32"/>
    <w:qFormat/>
    <w:rsid w:val="00BD2325"/>
    <w:rPr>
      <w:b/>
      <w:bCs/>
      <w:smallCaps/>
      <w:color w:val="0F4761" w:themeColor="accent1" w:themeShade="BF"/>
      <w:spacing w:val="5"/>
    </w:rPr>
  </w:style>
  <w:style w:type="character" w:styleId="Hyperlink">
    <w:name w:val="Hyperlink"/>
    <w:basedOn w:val="DefaultParagraphFont"/>
    <w:uiPriority w:val="99"/>
    <w:unhideWhenUsed/>
    <w:rsid w:val="00BD2325"/>
    <w:rPr>
      <w:color w:val="467886" w:themeColor="hyperlink"/>
      <w:u w:val="single"/>
    </w:rPr>
  </w:style>
  <w:style w:type="character" w:styleId="UnresolvedMention">
    <w:name w:val="Unresolved Mention"/>
    <w:basedOn w:val="DefaultParagraphFont"/>
    <w:uiPriority w:val="99"/>
    <w:semiHidden/>
    <w:unhideWhenUsed/>
    <w:rsid w:val="00BD2325"/>
    <w:rPr>
      <w:color w:val="605E5C"/>
      <w:shd w:val="clear" w:color="auto" w:fill="E1DFDD"/>
    </w:rPr>
  </w:style>
  <w:style w:type="paragraph" w:styleId="Revision">
    <w:name w:val="Revision"/>
    <w:hidden/>
    <w:uiPriority w:val="99"/>
    <w:semiHidden/>
    <w:rsid w:val="00346DAB"/>
    <w:pPr>
      <w:spacing w:after="0" w:line="240" w:lineRule="auto"/>
    </w:pPr>
  </w:style>
  <w:style w:type="paragraph" w:styleId="Header">
    <w:name w:val="header"/>
    <w:basedOn w:val="Normal"/>
    <w:link w:val="HeaderChar"/>
    <w:uiPriority w:val="99"/>
    <w:unhideWhenUsed/>
    <w:rsid w:val="00C70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B75"/>
  </w:style>
  <w:style w:type="paragraph" w:styleId="Footer">
    <w:name w:val="footer"/>
    <w:basedOn w:val="Normal"/>
    <w:link w:val="FooterChar"/>
    <w:uiPriority w:val="99"/>
    <w:unhideWhenUsed/>
    <w:rsid w:val="00C70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835443">
      <w:bodyDiv w:val="1"/>
      <w:marLeft w:val="0"/>
      <w:marRight w:val="0"/>
      <w:marTop w:val="0"/>
      <w:marBottom w:val="0"/>
      <w:divBdr>
        <w:top w:val="none" w:sz="0" w:space="0" w:color="auto"/>
        <w:left w:val="none" w:sz="0" w:space="0" w:color="auto"/>
        <w:bottom w:val="none" w:sz="0" w:space="0" w:color="auto"/>
        <w:right w:val="none" w:sz="0" w:space="0" w:color="auto"/>
      </w:divBdr>
      <w:divsChild>
        <w:div w:id="1032193415">
          <w:marLeft w:val="-720"/>
          <w:marRight w:val="0"/>
          <w:marTop w:val="0"/>
          <w:marBottom w:val="0"/>
          <w:divBdr>
            <w:top w:val="none" w:sz="0" w:space="0" w:color="auto"/>
            <w:left w:val="none" w:sz="0" w:space="0" w:color="auto"/>
            <w:bottom w:val="none" w:sz="0" w:space="0" w:color="auto"/>
            <w:right w:val="none" w:sz="0" w:space="0" w:color="auto"/>
          </w:divBdr>
        </w:div>
      </w:divsChild>
    </w:div>
    <w:div w:id="689111154">
      <w:bodyDiv w:val="1"/>
      <w:marLeft w:val="0"/>
      <w:marRight w:val="0"/>
      <w:marTop w:val="0"/>
      <w:marBottom w:val="0"/>
      <w:divBdr>
        <w:top w:val="none" w:sz="0" w:space="0" w:color="auto"/>
        <w:left w:val="none" w:sz="0" w:space="0" w:color="auto"/>
        <w:bottom w:val="none" w:sz="0" w:space="0" w:color="auto"/>
        <w:right w:val="none" w:sz="0" w:space="0" w:color="auto"/>
      </w:divBdr>
    </w:div>
    <w:div w:id="1322736046">
      <w:bodyDiv w:val="1"/>
      <w:marLeft w:val="0"/>
      <w:marRight w:val="0"/>
      <w:marTop w:val="0"/>
      <w:marBottom w:val="0"/>
      <w:divBdr>
        <w:top w:val="none" w:sz="0" w:space="0" w:color="auto"/>
        <w:left w:val="none" w:sz="0" w:space="0" w:color="auto"/>
        <w:bottom w:val="none" w:sz="0" w:space="0" w:color="auto"/>
        <w:right w:val="none" w:sz="0" w:space="0" w:color="auto"/>
      </w:divBdr>
    </w:div>
    <w:div w:id="1339238170">
      <w:bodyDiv w:val="1"/>
      <w:marLeft w:val="0"/>
      <w:marRight w:val="0"/>
      <w:marTop w:val="0"/>
      <w:marBottom w:val="0"/>
      <w:divBdr>
        <w:top w:val="none" w:sz="0" w:space="0" w:color="auto"/>
        <w:left w:val="none" w:sz="0" w:space="0" w:color="auto"/>
        <w:bottom w:val="none" w:sz="0" w:space="0" w:color="auto"/>
        <w:right w:val="none" w:sz="0" w:space="0" w:color="auto"/>
      </w:divBdr>
      <w:divsChild>
        <w:div w:id="110476127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186/s40164-023-00455-6"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200/JCO.21" TargetMode="External"/><Relationship Id="rId17" Type="http://schemas.openxmlformats.org/officeDocument/2006/relationships/hyperlink" Target="https://doi.org/10.1200/jco.2013.50.6105.%20Accessed%2021%20June%202023" TargetMode="External"/><Relationship Id="rId2" Type="http://schemas.openxmlformats.org/officeDocument/2006/relationships/styles" Target="styles.xml"/><Relationship Id="rId16" Type="http://schemas.openxmlformats.org/officeDocument/2006/relationships/hyperlink" Target="https://doi.org/10.1183/13993003/erj.42.Suppl_57.P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26/scitranslmed.3007013" TargetMode="External"/><Relationship Id="rId5" Type="http://schemas.openxmlformats.org/officeDocument/2006/relationships/footnotes" Target="footnotes.xml"/><Relationship Id="rId15" Type="http://schemas.openxmlformats.org/officeDocument/2006/relationships/hyperlink" Target="https://doi.org/10.1158/1055-9965.EPI-13-0251" TargetMode="External"/><Relationship Id="rId10" Type="http://schemas.openxmlformats.org/officeDocument/2006/relationships/hyperlink" Target="https://doi.org/10.3322/caac.2013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1016/j.jtho.2020.09.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b268d57-2a6f-4e04-b0de-6938583d5ebc}" enabled="0" method="" siteId="{5b268d57-2a6f-4e04-b0de-6938583d5ebc}" removed="1"/>
</clbl:labelList>
</file>

<file path=docProps/app.xml><?xml version="1.0" encoding="utf-8"?>
<Properties xmlns="http://schemas.openxmlformats.org/officeDocument/2006/extended-properties" xmlns:vt="http://schemas.openxmlformats.org/officeDocument/2006/docPropsVTypes">
  <Template>Normal</Template>
  <TotalTime>27</TotalTime>
  <Pages>5</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Grieshaber, Jessica L</dc:creator>
  <cp:keywords/>
  <dc:description/>
  <cp:lastModifiedBy>Grieshaber, Jessica L</cp:lastModifiedBy>
  <cp:revision>30</cp:revision>
  <dcterms:created xsi:type="dcterms:W3CDTF">2026-09-11T14:54:00Z</dcterms:created>
  <dcterms:modified xsi:type="dcterms:W3CDTF">2026-09-17T15:14:00Z</dcterms:modified>
</cp:coreProperties>
</file>